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1216"/>
        <w:tblW w:w="9923" w:type="dxa"/>
        <w:tblLayout w:type="fixed"/>
        <w:tblCellMar>
          <w:left w:w="70" w:type="dxa"/>
          <w:right w:w="70" w:type="dxa"/>
        </w:tblCellMar>
        <w:tblLook w:val="0000" w:firstRow="0" w:lastRow="0" w:firstColumn="0" w:lastColumn="0" w:noHBand="0" w:noVBand="0"/>
      </w:tblPr>
      <w:tblGrid>
        <w:gridCol w:w="7797"/>
        <w:gridCol w:w="2126"/>
      </w:tblGrid>
      <w:tr w:rsidR="007D243E" w:rsidRPr="00491D88" w:rsidTr="00F168B0">
        <w:trPr>
          <w:cantSplit/>
          <w:trHeight w:val="1451"/>
        </w:trPr>
        <w:tc>
          <w:tcPr>
            <w:tcW w:w="7797" w:type="dxa"/>
          </w:tcPr>
          <w:p w:rsidR="007D243E" w:rsidRPr="00491D88" w:rsidRDefault="007D243E" w:rsidP="00F168B0">
            <w:pPr>
              <w:rPr>
                <w:rFonts w:cs="Arial"/>
                <w:sz w:val="12"/>
              </w:rPr>
            </w:pPr>
          </w:p>
        </w:tc>
        <w:tc>
          <w:tcPr>
            <w:tcW w:w="2126" w:type="dxa"/>
            <w:vAlign w:val="center"/>
          </w:tcPr>
          <w:p w:rsidR="007D243E" w:rsidRPr="00491D88" w:rsidRDefault="00020217" w:rsidP="00F168B0">
            <w:pPr>
              <w:spacing w:line="360" w:lineRule="auto"/>
              <w:jc w:val="right"/>
              <w:rPr>
                <w:rFonts w:cs="Arial"/>
                <w:sz w:val="8"/>
              </w:rPr>
            </w:pPr>
            <w:r>
              <w:rPr>
                <w:rFonts w:cs="Arial"/>
                <w:b/>
                <w:noProof/>
                <w:spacing w:val="32"/>
                <w:sz w:val="32"/>
              </w:rPr>
              <w:drawing>
                <wp:anchor distT="0" distB="0" distL="114300" distR="114300" simplePos="0" relativeHeight="251659264" behindDoc="0" locked="0" layoutInCell="1" allowOverlap="1" wp14:anchorId="693108E0" wp14:editId="192E766F">
                  <wp:simplePos x="0" y="0"/>
                  <wp:positionH relativeFrom="column">
                    <wp:posOffset>2540</wp:posOffset>
                  </wp:positionH>
                  <wp:positionV relativeFrom="paragraph">
                    <wp:posOffset>3810</wp:posOffset>
                  </wp:positionV>
                  <wp:extent cx="1260000" cy="723600"/>
                  <wp:effectExtent l="0" t="0" r="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leg logo ausdruck inter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723600"/>
                          </a:xfrm>
                          <a:prstGeom prst="rect">
                            <a:avLst/>
                          </a:prstGeom>
                        </pic:spPr>
                      </pic:pic>
                    </a:graphicData>
                  </a:graphic>
                  <wp14:sizeRelH relativeFrom="margin">
                    <wp14:pctWidth>0</wp14:pctWidth>
                  </wp14:sizeRelH>
                  <wp14:sizeRelV relativeFrom="margin">
                    <wp14:pctHeight>0</wp14:pctHeight>
                  </wp14:sizeRelV>
                </wp:anchor>
              </w:drawing>
            </w:r>
          </w:p>
          <w:p w:rsidR="007D243E" w:rsidRPr="00491D88" w:rsidRDefault="007D243E" w:rsidP="00F168B0">
            <w:pPr>
              <w:spacing w:line="360" w:lineRule="auto"/>
              <w:jc w:val="right"/>
              <w:rPr>
                <w:rFonts w:cs="Arial"/>
                <w:b/>
                <w:spacing w:val="32"/>
                <w:sz w:val="32"/>
              </w:rPr>
            </w:pPr>
          </w:p>
          <w:p w:rsidR="007D243E" w:rsidRPr="00491D88" w:rsidRDefault="007D243E" w:rsidP="00F168B0">
            <w:pPr>
              <w:spacing w:line="360" w:lineRule="auto"/>
              <w:jc w:val="right"/>
              <w:rPr>
                <w:rFonts w:cs="Arial"/>
                <w:sz w:val="12"/>
              </w:rPr>
            </w:pPr>
          </w:p>
        </w:tc>
      </w:tr>
      <w:tr w:rsidR="00936F47" w:rsidRPr="00020217" w:rsidTr="00F168B0">
        <w:trPr>
          <w:gridAfter w:val="1"/>
          <w:wAfter w:w="2126" w:type="dxa"/>
          <w:cantSplit/>
        </w:trPr>
        <w:tc>
          <w:tcPr>
            <w:tcW w:w="7797" w:type="dxa"/>
          </w:tcPr>
          <w:p w:rsidR="00936F47" w:rsidRPr="00491D88" w:rsidRDefault="00936F47" w:rsidP="006E2E18">
            <w:pPr>
              <w:spacing w:after="0"/>
              <w:ind w:left="-73"/>
              <w:rPr>
                <w:rFonts w:cs="Arial"/>
                <w:sz w:val="13"/>
              </w:rPr>
            </w:pPr>
            <w:r w:rsidRPr="00936F47">
              <w:rPr>
                <w:rFonts w:cs="Arial"/>
                <w:b/>
                <w:bCs/>
                <w:noProof/>
                <w:sz w:val="22"/>
                <w:szCs w:val="24"/>
              </w:rPr>
              <mc:AlternateContent>
                <mc:Choice Requires="wps">
                  <w:drawing>
                    <wp:anchor distT="0" distB="0" distL="114300" distR="114300" simplePos="0" relativeHeight="251662336" behindDoc="0" locked="0" layoutInCell="1" allowOverlap="1" wp14:anchorId="4724F12B" wp14:editId="6F44DE74">
                      <wp:simplePos x="0" y="0"/>
                      <wp:positionH relativeFrom="column">
                        <wp:posOffset>4798695</wp:posOffset>
                      </wp:positionH>
                      <wp:positionV relativeFrom="paragraph">
                        <wp:posOffset>12065</wp:posOffset>
                      </wp:positionV>
                      <wp:extent cx="1416685" cy="1060450"/>
                      <wp:effectExtent l="0" t="0" r="12065" b="6350"/>
                      <wp:wrapNone/>
                      <wp:docPr id="3" name="Textfeld 3"/>
                      <wp:cNvGraphicFramePr/>
                      <a:graphic xmlns:a="http://schemas.openxmlformats.org/drawingml/2006/main">
                        <a:graphicData uri="http://schemas.microsoft.com/office/word/2010/wordprocessingShape">
                          <wps:wsp>
                            <wps:cNvSpPr txBox="1"/>
                            <wps:spPr>
                              <a:xfrm>
                                <a:off x="0" y="0"/>
                                <a:ext cx="1416685" cy="1060450"/>
                              </a:xfrm>
                              <a:prstGeom prst="rect">
                                <a:avLst/>
                              </a:prstGeom>
                              <a:noFill/>
                              <a:ln w="6350">
                                <a:noFill/>
                              </a:ln>
                            </wps:spPr>
                            <wps:txbx>
                              <w:txbxContent>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363477"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363477"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977CFF"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18</w:t>
                                  </w:r>
                                  <w:r w:rsidR="00DE7A74">
                                    <w:rPr>
                                      <w:rFonts w:cs="Arial"/>
                                      <w:noProof/>
                                      <w:color w:val="6F89AC" w:themeColor="accent1"/>
                                      <w:sz w:val="22"/>
                                      <w:szCs w:val="22"/>
                                    </w:rPr>
                                    <w:t>.10</w:t>
                                  </w:r>
                                  <w:r w:rsidR="00363477">
                                    <w:rPr>
                                      <w:rFonts w:cs="Arial"/>
                                      <w:noProof/>
                                      <w:color w:val="6F89AC" w:themeColor="accent1"/>
                                      <w:sz w:val="22"/>
                                      <w:szCs w:val="22"/>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4F12B" id="_x0000_t202" coordsize="21600,21600" o:spt="202" path="m,l,21600r21600,l21600,xe">
                      <v:stroke joinstyle="miter"/>
                      <v:path gradientshapeok="t" o:connecttype="rect"/>
                    </v:shapetype>
                    <v:shape id="Textfeld 3" o:spid="_x0000_s1026" type="#_x0000_t202" style="position:absolute;left:0;text-align:left;margin-left:377.85pt;margin-top:.95pt;width:111.5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" filled="f" stroked="f" strokeweight=".5pt">
                      <v:textbox inset="0,0,0,0">
                        <w:txbxContent>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Telefon</w:t>
                            </w:r>
                            <w:r>
                              <w:rPr>
                                <w:rFonts w:cs="Arial"/>
                                <w:color w:val="6F89AC" w:themeColor="accent1"/>
                                <w:sz w:val="14"/>
                              </w:rPr>
                              <w:tab/>
                              <w:t>(0541) 501 - 4921</w:t>
                            </w:r>
                          </w:p>
                          <w:p w:rsidR="00936F47" w:rsidRPr="00734335" w:rsidRDefault="00363477" w:rsidP="00936F47">
                            <w:pPr>
                              <w:tabs>
                                <w:tab w:val="left" w:pos="497"/>
                              </w:tabs>
                              <w:spacing w:after="0" w:line="264" w:lineRule="auto"/>
                              <w:jc w:val="right"/>
                              <w:rPr>
                                <w:rFonts w:cs="Arial"/>
                                <w:color w:val="6F89AC" w:themeColor="accent1"/>
                                <w:sz w:val="14"/>
                              </w:rPr>
                            </w:pPr>
                            <w:r>
                              <w:rPr>
                                <w:rFonts w:cs="Arial"/>
                                <w:color w:val="6F89AC" w:themeColor="accent1"/>
                                <w:sz w:val="14"/>
                              </w:rPr>
                              <w:t>Telefax</w:t>
                            </w:r>
                            <w:r>
                              <w:rPr>
                                <w:rFonts w:cs="Arial"/>
                                <w:color w:val="6F89AC" w:themeColor="accent1"/>
                                <w:sz w:val="14"/>
                              </w:rPr>
                              <w:tab/>
                              <w:t>(0541) 501 - 6 4921</w:t>
                            </w:r>
                            <w:r w:rsidR="00967B2C">
                              <w:rPr>
                                <w:rFonts w:cs="Arial"/>
                                <w:color w:val="6F89AC" w:themeColor="accent1"/>
                                <w:sz w:val="14"/>
                              </w:rPr>
                              <w:t xml:space="preserve"> </w:t>
                            </w:r>
                          </w:p>
                          <w:p w:rsidR="00936F47" w:rsidRPr="00734335" w:rsidRDefault="00363477" w:rsidP="00936F47">
                            <w:pPr>
                              <w:tabs>
                                <w:tab w:val="left" w:pos="497"/>
                              </w:tabs>
                              <w:spacing w:after="0" w:line="264" w:lineRule="auto"/>
                              <w:jc w:val="right"/>
                              <w:rPr>
                                <w:rFonts w:cs="Arial"/>
                                <w:color w:val="6F89AC" w:themeColor="accent1"/>
                                <w:spacing w:val="8"/>
                                <w:sz w:val="14"/>
                              </w:rPr>
                            </w:pPr>
                            <w:r>
                              <w:rPr>
                                <w:rFonts w:cs="Arial"/>
                                <w:color w:val="6F89AC" w:themeColor="accent1"/>
                                <w:spacing w:val="8"/>
                                <w:sz w:val="14"/>
                              </w:rPr>
                              <w:t>brinkschroeder</w:t>
                            </w:r>
                            <w:r w:rsidR="00936F47" w:rsidRPr="00734335">
                              <w:rPr>
                                <w:rFonts w:cs="Arial"/>
                                <w:color w:val="6F89AC" w:themeColor="accent1"/>
                                <w:spacing w:val="8"/>
                                <w:sz w:val="14"/>
                              </w:rPr>
                              <w:t>@</w:t>
                            </w:r>
                            <w:r w:rsidR="00936F47" w:rsidRPr="00860478">
                              <w:rPr>
                                <w:rFonts w:cs="Arial"/>
                                <w:color w:val="6F89AC"/>
                                <w:spacing w:val="8"/>
                                <w:sz w:val="14"/>
                              </w:rPr>
                              <w:t>oleg</w:t>
                            </w:r>
                            <w:r w:rsidR="00936F47" w:rsidRPr="00734335">
                              <w:rPr>
                                <w:rFonts w:cs="Arial"/>
                                <w:color w:val="6F89AC" w:themeColor="accent1"/>
                                <w:spacing w:val="8"/>
                                <w:sz w:val="14"/>
                              </w:rPr>
                              <w:t>.de</w:t>
                            </w:r>
                          </w:p>
                          <w:p w:rsidR="00936F47" w:rsidRPr="001F42EA" w:rsidRDefault="00936F47" w:rsidP="00936F47">
                            <w:pPr>
                              <w:tabs>
                                <w:tab w:val="left" w:pos="497"/>
                              </w:tabs>
                              <w:spacing w:after="0" w:line="264" w:lineRule="auto"/>
                              <w:jc w:val="right"/>
                              <w:rPr>
                                <w:rFonts w:cs="Arial"/>
                                <w:color w:val="6F89AC" w:themeColor="accent1"/>
                                <w:sz w:val="14"/>
                              </w:rPr>
                            </w:pPr>
                            <w:r w:rsidRPr="001F42EA">
                              <w:rPr>
                                <w:rFonts w:cs="Arial"/>
                                <w:color w:val="6F89AC" w:themeColor="accent1"/>
                                <w:sz w:val="14"/>
                              </w:rPr>
                              <w:t>www.oleg.de</w:t>
                            </w:r>
                          </w:p>
                          <w:p w:rsidR="00936F47" w:rsidRPr="00734335" w:rsidRDefault="00363477" w:rsidP="00936F47">
                            <w:pPr>
                              <w:tabs>
                                <w:tab w:val="left" w:pos="497"/>
                              </w:tabs>
                              <w:spacing w:after="0" w:line="264" w:lineRule="auto"/>
                              <w:jc w:val="right"/>
                              <w:rPr>
                                <w:rFonts w:cs="Arial"/>
                                <w:color w:val="6F89AC" w:themeColor="accent1"/>
                                <w:sz w:val="14"/>
                                <w:lang w:val="en-US"/>
                              </w:rPr>
                            </w:pPr>
                            <w:r>
                              <w:rPr>
                                <w:rFonts w:cs="Arial"/>
                                <w:color w:val="6F89AC" w:themeColor="accent1"/>
                                <w:sz w:val="14"/>
                                <w:lang w:val="en-US"/>
                              </w:rPr>
                              <w:t>Daniel Brinkschröder</w:t>
                            </w: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734335" w:rsidRDefault="00936F47" w:rsidP="00936F47">
                            <w:pPr>
                              <w:tabs>
                                <w:tab w:val="left" w:pos="497"/>
                              </w:tabs>
                              <w:spacing w:after="0" w:line="264" w:lineRule="auto"/>
                              <w:jc w:val="right"/>
                              <w:rPr>
                                <w:rFonts w:cs="Arial"/>
                                <w:color w:val="6F89AC" w:themeColor="accent1"/>
                                <w:sz w:val="14"/>
                                <w:lang w:val="en-US"/>
                              </w:rPr>
                            </w:pPr>
                          </w:p>
                          <w:p w:rsidR="00936F47" w:rsidRPr="00EE2986" w:rsidRDefault="00977CFF" w:rsidP="00936F47">
                            <w:pPr>
                              <w:tabs>
                                <w:tab w:val="left" w:pos="497"/>
                              </w:tabs>
                              <w:spacing w:after="0" w:line="264" w:lineRule="auto"/>
                              <w:jc w:val="right"/>
                              <w:rPr>
                                <w:rFonts w:cs="Arial"/>
                                <w:noProof/>
                                <w:color w:val="6F89AC" w:themeColor="accent1"/>
                                <w:sz w:val="22"/>
                                <w:szCs w:val="22"/>
                              </w:rPr>
                            </w:pPr>
                            <w:r>
                              <w:rPr>
                                <w:rFonts w:cs="Arial"/>
                                <w:noProof/>
                                <w:color w:val="6F89AC" w:themeColor="accent1"/>
                                <w:sz w:val="22"/>
                                <w:szCs w:val="22"/>
                              </w:rPr>
                              <w:t>18</w:t>
                            </w:r>
                            <w:r w:rsidR="00DE7A74">
                              <w:rPr>
                                <w:rFonts w:cs="Arial"/>
                                <w:noProof/>
                                <w:color w:val="6F89AC" w:themeColor="accent1"/>
                                <w:sz w:val="22"/>
                                <w:szCs w:val="22"/>
                              </w:rPr>
                              <w:t>.10</w:t>
                            </w:r>
                            <w:r w:rsidR="00363477">
                              <w:rPr>
                                <w:rFonts w:cs="Arial"/>
                                <w:noProof/>
                                <w:color w:val="6F89AC" w:themeColor="accent1"/>
                                <w:sz w:val="22"/>
                                <w:szCs w:val="22"/>
                              </w:rPr>
                              <w:t>.2024</w:t>
                            </w:r>
                          </w:p>
                        </w:txbxContent>
                      </v:textbox>
                    </v:shape>
                  </w:pict>
                </mc:Fallback>
              </mc:AlternateContent>
            </w:r>
          </w:p>
        </w:tc>
      </w:tr>
    </w:tbl>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7615F5" w:rsidRDefault="007615F5" w:rsidP="00701D11">
      <w:pPr>
        <w:tabs>
          <w:tab w:val="left" w:pos="7655"/>
        </w:tabs>
        <w:ind w:right="1418"/>
        <w:jc w:val="both"/>
        <w:rPr>
          <w:rFonts w:cs="Arial"/>
          <w:b/>
          <w:bCs/>
          <w:sz w:val="22"/>
          <w:szCs w:val="24"/>
        </w:rPr>
      </w:pPr>
    </w:p>
    <w:p w:rsidR="00DE7A74" w:rsidRPr="00977CFF" w:rsidRDefault="00977CFF" w:rsidP="001E7F4A">
      <w:pPr>
        <w:tabs>
          <w:tab w:val="left" w:pos="7655"/>
        </w:tabs>
        <w:ind w:right="1418"/>
        <w:jc w:val="both"/>
        <w:rPr>
          <w:rFonts w:cs="Arial"/>
          <w:b/>
          <w:sz w:val="28"/>
          <w:szCs w:val="22"/>
        </w:rPr>
      </w:pPr>
      <w:r w:rsidRPr="00977CFF">
        <w:rPr>
          <w:rFonts w:cs="Arial"/>
          <w:b/>
          <w:sz w:val="28"/>
          <w:szCs w:val="22"/>
        </w:rPr>
        <w:t>Pressemitteilung</w:t>
      </w:r>
    </w:p>
    <w:p w:rsidR="00977CFF" w:rsidRDefault="00977CFF" w:rsidP="00977CFF">
      <w:pPr>
        <w:spacing w:line="360" w:lineRule="auto"/>
        <w:rPr>
          <w:rFonts w:cs="Arial"/>
          <w:b/>
          <w:sz w:val="28"/>
          <w:szCs w:val="28"/>
        </w:rPr>
      </w:pPr>
    </w:p>
    <w:p w:rsidR="00977CFF" w:rsidRDefault="00977CFF" w:rsidP="00977CFF">
      <w:pPr>
        <w:spacing w:line="360" w:lineRule="auto"/>
        <w:rPr>
          <w:rFonts w:cs="Arial"/>
          <w:b/>
          <w:sz w:val="28"/>
          <w:szCs w:val="28"/>
        </w:rPr>
      </w:pPr>
      <w:r w:rsidRPr="00977CFF">
        <w:rPr>
          <w:rFonts w:cs="Arial"/>
          <w:b/>
          <w:sz w:val="24"/>
          <w:szCs w:val="28"/>
        </w:rPr>
        <w:t>Auf dem ehemaligen Homann-Betriebsgelände geht es voran</w:t>
      </w:r>
    </w:p>
    <w:p w:rsidR="00977CFF" w:rsidRPr="007954CC" w:rsidRDefault="00977CFF" w:rsidP="00977CFF">
      <w:pPr>
        <w:spacing w:line="360" w:lineRule="auto"/>
        <w:rPr>
          <w:rFonts w:cs="Arial"/>
          <w:b/>
        </w:rPr>
      </w:pPr>
      <w:r w:rsidRPr="007954CC">
        <w:rPr>
          <w:rFonts w:cs="Arial"/>
          <w:b/>
        </w:rPr>
        <w:t xml:space="preserve">Oleg und Stadt </w:t>
      </w:r>
      <w:proofErr w:type="spellStart"/>
      <w:r w:rsidRPr="007954CC">
        <w:rPr>
          <w:rFonts w:cs="Arial"/>
          <w:b/>
        </w:rPr>
        <w:t>Dissen</w:t>
      </w:r>
      <w:proofErr w:type="spellEnd"/>
      <w:r>
        <w:rPr>
          <w:rFonts w:cs="Arial"/>
          <w:b/>
        </w:rPr>
        <w:t xml:space="preserve"> </w:t>
      </w:r>
      <w:proofErr w:type="spellStart"/>
      <w:r>
        <w:rPr>
          <w:rFonts w:cs="Arial"/>
          <w:b/>
        </w:rPr>
        <w:t>aTW</w:t>
      </w:r>
      <w:proofErr w:type="spellEnd"/>
      <w:r>
        <w:rPr>
          <w:rFonts w:cs="Arial"/>
          <w:b/>
        </w:rPr>
        <w:t xml:space="preserve"> </w:t>
      </w:r>
      <w:r w:rsidRPr="007954CC">
        <w:rPr>
          <w:rFonts w:cs="Arial"/>
          <w:b/>
        </w:rPr>
        <w:t xml:space="preserve">planen </w:t>
      </w:r>
      <w:r>
        <w:rPr>
          <w:rFonts w:cs="Arial"/>
          <w:b/>
        </w:rPr>
        <w:t xml:space="preserve">gemeinsam </w:t>
      </w:r>
      <w:r w:rsidRPr="007954CC">
        <w:rPr>
          <w:rFonts w:cs="Arial"/>
          <w:b/>
        </w:rPr>
        <w:t>die nächsten Schritte zur Entwic</w:t>
      </w:r>
      <w:bookmarkStart w:id="0" w:name="_GoBack"/>
      <w:bookmarkEnd w:id="0"/>
      <w:r w:rsidRPr="007954CC">
        <w:rPr>
          <w:rFonts w:cs="Arial"/>
          <w:b/>
        </w:rPr>
        <w:t xml:space="preserve">klung des Areals </w:t>
      </w:r>
    </w:p>
    <w:p w:rsidR="00977CFF" w:rsidRDefault="00977CFF" w:rsidP="00977CFF">
      <w:pPr>
        <w:spacing w:line="360" w:lineRule="auto"/>
        <w:rPr>
          <w:rFonts w:cs="Arial"/>
        </w:rPr>
      </w:pPr>
    </w:p>
    <w:p w:rsidR="00977CFF" w:rsidRDefault="00977CFF" w:rsidP="00977CFF">
      <w:pPr>
        <w:spacing w:line="360" w:lineRule="auto"/>
        <w:rPr>
          <w:rFonts w:cs="Arial"/>
        </w:rPr>
      </w:pPr>
      <w:r>
        <w:rPr>
          <w:rFonts w:cs="Arial"/>
        </w:rPr>
        <w:t xml:space="preserve">Die Entwicklung des Homann-Areals schreitet mit großen Schritten voran. Seit dem Kauf des ehemaligen Betriebsgeländes durch die </w:t>
      </w:r>
      <w:proofErr w:type="spellStart"/>
      <w:r>
        <w:rPr>
          <w:rFonts w:cs="Arial"/>
        </w:rPr>
        <w:t>oleg</w:t>
      </w:r>
      <w:proofErr w:type="spellEnd"/>
      <w:r>
        <w:rPr>
          <w:rFonts w:cs="Arial"/>
        </w:rPr>
        <w:t xml:space="preserve"> Osnabrücker Land-Entwicklungsgesellschaft hat sich viel getan. Nicht nur die Maschinen wurden einer neuen Verwendung zugeführt, auch die Ideen für die Nachnutzung des Geländes nehmen Form an: „Die Entwicklung dieser Flächen mitten in </w:t>
      </w:r>
      <w:proofErr w:type="spellStart"/>
      <w:r>
        <w:rPr>
          <w:rFonts w:cs="Arial"/>
        </w:rPr>
        <w:t>Dissen</w:t>
      </w:r>
      <w:proofErr w:type="spellEnd"/>
      <w:r>
        <w:rPr>
          <w:rFonts w:cs="Arial"/>
        </w:rPr>
        <w:t xml:space="preserve"> ist eine Mammutaufgabe, der wir uns aber gerne stellen. Es ist beeindruckend, was hier bislang geleistet wurde und wie sich die Bürgerinnen und Bürger in den dynamischen Prozess einbringen“, zieht Dissens Bürgermeister Eugen Görlitz ein positives Zwischenfazit. Und auch für das nächste Jahr sind einige Maßnahmen geplant: So soll eine Bedarfsanalyse starten, um zu ermitteln, wie das Gelände langfristig am besten genutzt werden kann. </w:t>
      </w:r>
    </w:p>
    <w:p w:rsidR="00977CFF" w:rsidRDefault="00977CFF" w:rsidP="00977CFF">
      <w:pPr>
        <w:spacing w:line="360" w:lineRule="auto"/>
        <w:rPr>
          <w:rFonts w:cs="Arial"/>
        </w:rPr>
      </w:pPr>
      <w:r w:rsidRPr="00716DAA">
        <w:rPr>
          <w:rFonts w:cs="Arial"/>
        </w:rPr>
        <w:t xml:space="preserve">Im Jahr 2023 hat die </w:t>
      </w:r>
      <w:proofErr w:type="spellStart"/>
      <w:r>
        <w:rPr>
          <w:rFonts w:cs="Arial"/>
        </w:rPr>
        <w:t>oleg</w:t>
      </w:r>
      <w:proofErr w:type="spellEnd"/>
      <w:r>
        <w:rPr>
          <w:rFonts w:cs="Arial"/>
        </w:rPr>
        <w:t xml:space="preserve"> die Flächen des Lebensmittelherstellers erworben und im Einvernehmen mit der Stadt erste Maßnahmen gestartet, um das Areal zukunftsgerecht aufzustellen. Derzeit ist das Gelände an das Unternehmen </w:t>
      </w:r>
      <w:proofErr w:type="spellStart"/>
      <w:r>
        <w:rPr>
          <w:rFonts w:cs="Arial"/>
        </w:rPr>
        <w:t>Progressu</w:t>
      </w:r>
      <w:proofErr w:type="spellEnd"/>
      <w:r>
        <w:rPr>
          <w:rFonts w:cs="Arial"/>
        </w:rPr>
        <w:t xml:space="preserve"> verpachtet, dass die Maschinen vermarktet und diese so in den Kreislauf zurückgibt. „Die Maschinen kommen dadurch noch in anderen Betrieben zum Einsatz. Wir sind froh, diese nachhaltige Lösung gefunden zu haben“, erklärt Susanne Menke, Geschäftsführerin der </w:t>
      </w:r>
      <w:proofErr w:type="spellStart"/>
      <w:r>
        <w:rPr>
          <w:rFonts w:cs="Arial"/>
        </w:rPr>
        <w:t>oleg</w:t>
      </w:r>
      <w:proofErr w:type="spellEnd"/>
      <w:r>
        <w:rPr>
          <w:rFonts w:cs="Arial"/>
        </w:rPr>
        <w:t xml:space="preserve">.     </w:t>
      </w:r>
    </w:p>
    <w:p w:rsidR="00977CFF" w:rsidRPr="00977CFF" w:rsidRDefault="00977CFF" w:rsidP="00977CFF">
      <w:pPr>
        <w:spacing w:line="360" w:lineRule="auto"/>
        <w:rPr>
          <w:rFonts w:cs="Arial"/>
        </w:rPr>
      </w:pPr>
      <w:r>
        <w:rPr>
          <w:rFonts w:cs="Arial"/>
        </w:rPr>
        <w:t xml:space="preserve">„In dem gesamten Prozess ist es uns wichtig, die Bürgerinnen und Bürger und die Politik mitzunehmen und das Gelände so zu gestalten, dass sich die Menschen in </w:t>
      </w:r>
      <w:proofErr w:type="spellStart"/>
      <w:r>
        <w:rPr>
          <w:rFonts w:cs="Arial"/>
        </w:rPr>
        <w:t>Dissen</w:t>
      </w:r>
      <w:proofErr w:type="spellEnd"/>
      <w:r>
        <w:rPr>
          <w:rFonts w:cs="Arial"/>
        </w:rPr>
        <w:t xml:space="preserve"> damit identifizieren können“, betont Eugen Görlitz. So seien 2023 und 2024 einige Bürgerinfoveranstaltungen und ein Ratsworkshop durchgeführt worden. Zudem sei das Projekt in die Städtebauförderung 2024 aufgenommen worden. Auch für das Programmjahr 2025 sei die Anmeldung bereits erfolgt.   </w:t>
      </w:r>
    </w:p>
    <w:p w:rsidR="00977CFF" w:rsidRPr="009E5A5B" w:rsidRDefault="00977CFF" w:rsidP="00977CFF">
      <w:pPr>
        <w:spacing w:line="360" w:lineRule="auto"/>
        <w:rPr>
          <w:rFonts w:cs="Arial"/>
        </w:rPr>
      </w:pPr>
      <w:r>
        <w:rPr>
          <w:rFonts w:cs="Arial"/>
        </w:rPr>
        <w:t xml:space="preserve">Erste Überlegungen, was mit dem </w:t>
      </w:r>
      <w:r w:rsidRPr="00271BA4">
        <w:rPr>
          <w:rFonts w:cs="Arial"/>
        </w:rPr>
        <w:t>Wasserturm als ein geschichtsträchtiges und identitätsstiftendes B</w:t>
      </w:r>
      <w:r>
        <w:rPr>
          <w:rFonts w:cs="Arial"/>
        </w:rPr>
        <w:t xml:space="preserve">auwerk für alle </w:t>
      </w:r>
      <w:proofErr w:type="spellStart"/>
      <w:r>
        <w:rPr>
          <w:rFonts w:cs="Arial"/>
        </w:rPr>
        <w:t>Dissener</w:t>
      </w:r>
      <w:proofErr w:type="spellEnd"/>
      <w:r>
        <w:rPr>
          <w:rFonts w:cs="Arial"/>
        </w:rPr>
        <w:t xml:space="preserve"> Bürger</w:t>
      </w:r>
      <w:r w:rsidRPr="00271BA4">
        <w:rPr>
          <w:rFonts w:cs="Arial"/>
        </w:rPr>
        <w:t xml:space="preserve">innen </w:t>
      </w:r>
      <w:r>
        <w:rPr>
          <w:rFonts w:cs="Arial"/>
        </w:rPr>
        <w:t xml:space="preserve">und Bürger geschehen soll, wurden bereits angestellt. Das durch die </w:t>
      </w:r>
      <w:proofErr w:type="spellStart"/>
      <w:r>
        <w:rPr>
          <w:rFonts w:cs="Arial"/>
        </w:rPr>
        <w:t>oleg</w:t>
      </w:r>
      <w:proofErr w:type="spellEnd"/>
      <w:r>
        <w:rPr>
          <w:rFonts w:cs="Arial"/>
        </w:rPr>
        <w:t xml:space="preserve"> erworbene Bauwerk steht unter Denkmalschutz und weist einen </w:t>
      </w:r>
      <w:r w:rsidRPr="00271BA4">
        <w:rPr>
          <w:rFonts w:cs="Arial"/>
        </w:rPr>
        <w:t>Sanierungsbedarf</w:t>
      </w:r>
      <w:r>
        <w:rPr>
          <w:rFonts w:cs="Arial"/>
        </w:rPr>
        <w:t xml:space="preserve"> auf. „</w:t>
      </w:r>
      <w:r w:rsidRPr="00271BA4">
        <w:rPr>
          <w:rFonts w:cs="Arial"/>
        </w:rPr>
        <w:t xml:space="preserve">Erste Vorschläge zur Nutzung als besonderes </w:t>
      </w:r>
      <w:r w:rsidRPr="009E5A5B">
        <w:rPr>
          <w:rFonts w:cs="Arial"/>
        </w:rPr>
        <w:t xml:space="preserve">Trauzimmer des Standesamts, als Museum oder Aussichtsplattform liegen bereits vor. </w:t>
      </w:r>
      <w:r w:rsidRPr="009E5A5B">
        <w:rPr>
          <w:rFonts w:cs="Arial"/>
        </w:rPr>
        <w:lastRenderedPageBreak/>
        <w:t>Hierfür ist aber eine umfangreiche Sanierung des Gebäudes erforderlich“, erläutert Eugen Görlitz. Um weiteren Schäden vorzubeugen und die sichere Nutzung der angrenzenden Verkehrsflächen stets zu gewährleisten, seien in diesem Jahr erste vorbereitende Untersuchungen</w:t>
      </w:r>
      <w:r>
        <w:rPr>
          <w:rFonts w:cs="Arial"/>
        </w:rPr>
        <w:t xml:space="preserve"> zur Sanierung</w:t>
      </w:r>
      <w:r w:rsidRPr="009E5A5B">
        <w:rPr>
          <w:rFonts w:cs="Arial"/>
        </w:rPr>
        <w:t xml:space="preserve"> des Bauwerks durchgeführt worden. Eine umfangreiche Sanierung solle zu einem späteren Zeitpunkt erfolgen.</w:t>
      </w:r>
    </w:p>
    <w:p w:rsidR="00977CFF" w:rsidRPr="00271BA4" w:rsidRDefault="00977CFF" w:rsidP="00977CFF">
      <w:pPr>
        <w:spacing w:line="360" w:lineRule="auto"/>
        <w:rPr>
          <w:rFonts w:cs="Arial"/>
        </w:rPr>
      </w:pPr>
    </w:p>
    <w:p w:rsidR="00977CFF" w:rsidRDefault="00977CFF" w:rsidP="00977CFF">
      <w:pPr>
        <w:spacing w:line="360" w:lineRule="auto"/>
        <w:rPr>
          <w:rFonts w:cs="Arial"/>
        </w:rPr>
      </w:pPr>
      <w:r>
        <w:rPr>
          <w:rFonts w:cs="Arial"/>
        </w:rPr>
        <w:t xml:space="preserve">Der nächste Meilenstein in der Entwicklung des Areals ist laut der Stadt </w:t>
      </w:r>
      <w:proofErr w:type="spellStart"/>
      <w:r>
        <w:rPr>
          <w:rFonts w:cs="Arial"/>
        </w:rPr>
        <w:t>Dissen</w:t>
      </w:r>
      <w:proofErr w:type="spellEnd"/>
      <w:r>
        <w:rPr>
          <w:rFonts w:cs="Arial"/>
        </w:rPr>
        <w:t xml:space="preserve"> </w:t>
      </w:r>
      <w:proofErr w:type="spellStart"/>
      <w:r>
        <w:rPr>
          <w:rFonts w:cs="Arial"/>
        </w:rPr>
        <w:t>aTW</w:t>
      </w:r>
      <w:proofErr w:type="spellEnd"/>
      <w:r>
        <w:rPr>
          <w:rFonts w:cs="Arial"/>
        </w:rPr>
        <w:t xml:space="preserve"> eine </w:t>
      </w:r>
      <w:r w:rsidRPr="00271BA4">
        <w:rPr>
          <w:rFonts w:cs="Arial"/>
        </w:rPr>
        <w:t>Bedarfsanalyse</w:t>
      </w:r>
      <w:r>
        <w:rPr>
          <w:rFonts w:cs="Arial"/>
        </w:rPr>
        <w:t xml:space="preserve">, welche Potenziale und Bedarfe bestehen. </w:t>
      </w:r>
      <w:r w:rsidRPr="00271BA4">
        <w:rPr>
          <w:rFonts w:cs="Arial"/>
        </w:rPr>
        <w:t>Ang</w:t>
      </w:r>
      <w:r>
        <w:rPr>
          <w:rFonts w:cs="Arial"/>
        </w:rPr>
        <w:t xml:space="preserve">ebote werden derzeit eingeholt. Wie Dissens Bürgermeister berichtet, sei bereits eine </w:t>
      </w:r>
      <w:r w:rsidRPr="00271BA4">
        <w:rPr>
          <w:rFonts w:cs="Arial"/>
        </w:rPr>
        <w:t xml:space="preserve">Vielzahl an </w:t>
      </w:r>
      <w:r>
        <w:rPr>
          <w:rFonts w:cs="Arial"/>
        </w:rPr>
        <w:t xml:space="preserve">Vorschlägen und </w:t>
      </w:r>
      <w:r w:rsidRPr="00271BA4">
        <w:rPr>
          <w:rFonts w:cs="Arial"/>
        </w:rPr>
        <w:t>Ideen zu einer möglichen Nac</w:t>
      </w:r>
      <w:r>
        <w:rPr>
          <w:rFonts w:cs="Arial"/>
        </w:rPr>
        <w:t xml:space="preserve">hnutzung des Areals eingegangen und </w:t>
      </w:r>
      <w:r w:rsidRPr="00271BA4">
        <w:rPr>
          <w:rFonts w:cs="Arial"/>
        </w:rPr>
        <w:t>gesammelt</w:t>
      </w:r>
      <w:r>
        <w:rPr>
          <w:rFonts w:cs="Arial"/>
        </w:rPr>
        <w:t xml:space="preserve"> worden. „</w:t>
      </w:r>
      <w:r w:rsidRPr="00271BA4">
        <w:rPr>
          <w:rFonts w:cs="Arial"/>
        </w:rPr>
        <w:t>Um das umfassende Angebot an Vorschlägen mit der nur begrenzt vorhandenen Fläche zu vereinbaren, ist eine weitere Priorisierung und Fokussierung erforderlich</w:t>
      </w:r>
      <w:r>
        <w:rPr>
          <w:rFonts w:cs="Arial"/>
        </w:rPr>
        <w:t>.“ Für den Zeitraum von 10</w:t>
      </w:r>
      <w:r w:rsidRPr="00271BA4">
        <w:rPr>
          <w:rFonts w:cs="Arial"/>
        </w:rPr>
        <w:t xml:space="preserve"> bis 15 Jahren </w:t>
      </w:r>
      <w:r>
        <w:rPr>
          <w:rFonts w:cs="Arial"/>
        </w:rPr>
        <w:t xml:space="preserve">sollen Faktoren wie die </w:t>
      </w:r>
      <w:r w:rsidRPr="00271BA4">
        <w:rPr>
          <w:rFonts w:cs="Arial"/>
        </w:rPr>
        <w:t>Bevölkerungsentwicklung und zukünftige Zielgruppen</w:t>
      </w:r>
      <w:r>
        <w:rPr>
          <w:rFonts w:cs="Arial"/>
        </w:rPr>
        <w:t xml:space="preserve">, der </w:t>
      </w:r>
      <w:r w:rsidRPr="00271BA4">
        <w:rPr>
          <w:rFonts w:cs="Arial"/>
        </w:rPr>
        <w:t>Status Quo des bereits vorhandenen städtischen Angebots und der zukünftigen Entwicklung in den Bereichen Soziales, Handel sowie Freizeit und Erholung untersucht</w:t>
      </w:r>
      <w:r>
        <w:rPr>
          <w:rFonts w:cs="Arial"/>
        </w:rPr>
        <w:t xml:space="preserve"> werden. Geprüft werden soll auch, ob und wie umliegende Flächen eingebunden werden können. „</w:t>
      </w:r>
      <w:r w:rsidRPr="00742415">
        <w:rPr>
          <w:rFonts w:cs="Arial"/>
        </w:rPr>
        <w:t xml:space="preserve">Auf </w:t>
      </w:r>
      <w:r>
        <w:rPr>
          <w:rFonts w:cs="Arial"/>
        </w:rPr>
        <w:t xml:space="preserve">der </w:t>
      </w:r>
      <w:r w:rsidRPr="00742415">
        <w:rPr>
          <w:rFonts w:cs="Arial"/>
        </w:rPr>
        <w:t>Basis der Bedarfsanalyse sollen die Vorschläge aus der Öffentlichkeit gewertet, Parameter für einen städtebaulichen Wettbewerb erarbeitet und dessen Durchführung vorbereitet werden</w:t>
      </w:r>
      <w:r>
        <w:rPr>
          <w:rFonts w:cs="Arial"/>
        </w:rPr>
        <w:t xml:space="preserve">“, kündigt Eugen Görlitz an. Ein städtebaulicher Wettbewerb sei geplant, der nach Abschluss der Bedarfsanalyse starten solle. </w:t>
      </w:r>
    </w:p>
    <w:p w:rsidR="00977CFF" w:rsidRDefault="00977CFF" w:rsidP="00977CFF">
      <w:pPr>
        <w:spacing w:line="360" w:lineRule="auto"/>
        <w:rPr>
          <w:rFonts w:cs="Arial"/>
        </w:rPr>
      </w:pPr>
      <w:r>
        <w:rPr>
          <w:rFonts w:cs="Arial"/>
        </w:rPr>
        <w:t>Weitere Schadstoffuntersuchungen als Vorbereitung für den Abbruch besonders abgängiger Lagerhallen werden zudem bereits in diesem Jahr durchgeführt. Zielsetzung sei der Abbruch dieser mangelhaften Bausubstanz im nächsten Jahr. Eine Entscheidung über den Rückbau weiterer Gebäude und Hallen solle erst nach dem Ergebnis des städtebaulichen Wettbewerbs sowie einem Ratsbeschluss erfolgen.</w:t>
      </w:r>
    </w:p>
    <w:p w:rsidR="00977CFF" w:rsidRDefault="00977CFF" w:rsidP="00977CFF">
      <w:pPr>
        <w:spacing w:line="360" w:lineRule="auto"/>
        <w:rPr>
          <w:rFonts w:cs="Arial"/>
        </w:rPr>
      </w:pPr>
      <w:r>
        <w:rPr>
          <w:rFonts w:cs="Arial"/>
        </w:rPr>
        <w:t xml:space="preserve">Eugen Görlitz und </w:t>
      </w:r>
      <w:proofErr w:type="spellStart"/>
      <w:r>
        <w:rPr>
          <w:rFonts w:cs="Arial"/>
        </w:rPr>
        <w:t>oleg</w:t>
      </w:r>
      <w:proofErr w:type="spellEnd"/>
      <w:r>
        <w:rPr>
          <w:rFonts w:cs="Arial"/>
        </w:rPr>
        <w:t xml:space="preserve">-Geschäftsführerin Susanne Menke freuen sich, dass die Arbeiten so gut und zügig vorangehen und ziehen ein positives Zwischenfazit: „Wir haben viel erreicht. Aber es liegen noch einige Herausforderungen vor uns.“  </w:t>
      </w:r>
    </w:p>
    <w:p w:rsidR="00977CFF" w:rsidRDefault="00977CFF" w:rsidP="00977CFF">
      <w:pPr>
        <w:spacing w:line="360" w:lineRule="auto"/>
        <w:rPr>
          <w:rFonts w:cs="Arial"/>
        </w:rPr>
      </w:pPr>
    </w:p>
    <w:p w:rsidR="00977CFF" w:rsidRPr="00977CFF" w:rsidRDefault="00977CFF" w:rsidP="00977CFF">
      <w:pPr>
        <w:spacing w:line="360" w:lineRule="auto"/>
        <w:rPr>
          <w:rFonts w:cs="Arial"/>
          <w:u w:val="single"/>
        </w:rPr>
      </w:pPr>
      <w:r w:rsidRPr="00977CFF">
        <w:rPr>
          <w:rFonts w:cs="Arial"/>
          <w:u w:val="single"/>
        </w:rPr>
        <w:t>Bildunterschrift:</w:t>
      </w:r>
    </w:p>
    <w:p w:rsidR="00977CFF" w:rsidRPr="00977CFF" w:rsidRDefault="00977CFF" w:rsidP="00977CFF">
      <w:pPr>
        <w:spacing w:line="360" w:lineRule="auto"/>
        <w:rPr>
          <w:rFonts w:cs="Arial"/>
          <w:i/>
        </w:rPr>
      </w:pPr>
      <w:r w:rsidRPr="00977CFF">
        <w:rPr>
          <w:rFonts w:cs="Arial"/>
          <w:i/>
        </w:rPr>
        <w:t>Erste Überlegungen zur Nachnutzung des Wasserturms wurden bereits angestellt.</w:t>
      </w:r>
      <w:r>
        <w:rPr>
          <w:rFonts w:cs="Arial"/>
          <w:i/>
        </w:rPr>
        <w:t xml:space="preserve"> Foto: </w:t>
      </w:r>
      <w:proofErr w:type="spellStart"/>
      <w:r>
        <w:rPr>
          <w:rFonts w:cs="Arial"/>
          <w:i/>
        </w:rPr>
        <w:t>oleg</w:t>
      </w:r>
      <w:proofErr w:type="spellEnd"/>
    </w:p>
    <w:p w:rsidR="007615F5" w:rsidRPr="005059C0" w:rsidRDefault="007615F5" w:rsidP="00977CFF">
      <w:pPr>
        <w:tabs>
          <w:tab w:val="left" w:pos="7655"/>
        </w:tabs>
        <w:ind w:right="1418"/>
        <w:jc w:val="both"/>
        <w:rPr>
          <w:rFonts w:cs="Arial"/>
          <w:sz w:val="22"/>
          <w:szCs w:val="22"/>
        </w:rPr>
      </w:pPr>
    </w:p>
    <w:sectPr w:rsidR="007615F5" w:rsidRPr="005059C0" w:rsidSect="004873DE">
      <w:footerReference w:type="first" r:id="rId8"/>
      <w:pgSz w:w="11907" w:h="16840" w:code="9"/>
      <w:pgMar w:top="1418" w:right="709" w:bottom="284" w:left="1418"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0CC" w:rsidRDefault="00D600CC">
      <w:r>
        <w:separator/>
      </w:r>
    </w:p>
  </w:endnote>
  <w:endnote w:type="continuationSeparator" w:id="0">
    <w:p w:rsidR="00D600CC" w:rsidRDefault="00D6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2069"/>
      <w:gridCol w:w="1675"/>
      <w:gridCol w:w="2693"/>
      <w:gridCol w:w="1413"/>
    </w:tblGrid>
    <w:tr w:rsidR="00020217" w:rsidRPr="001F42EA" w:rsidTr="005A2B47">
      <w:trPr>
        <w:trHeight w:val="694"/>
      </w:trPr>
      <w:tc>
        <w:tcPr>
          <w:tcW w:w="1928" w:type="dxa"/>
        </w:tcPr>
        <w:p w:rsidR="00020217" w:rsidRPr="005A2B47" w:rsidRDefault="00020217" w:rsidP="00D924A3">
          <w:pPr>
            <w:tabs>
              <w:tab w:val="left" w:pos="7711"/>
            </w:tabs>
            <w:spacing w:after="0" w:line="264" w:lineRule="auto"/>
            <w:ind w:left="-107" w:right="-1135"/>
            <w:rPr>
              <w:color w:val="6F89AC" w:themeColor="accent1"/>
            </w:rPr>
          </w:pPr>
        </w:p>
      </w:tc>
      <w:tc>
        <w:tcPr>
          <w:tcW w:w="2069" w:type="dxa"/>
        </w:tcPr>
        <w:p w:rsidR="00020217" w:rsidRPr="005A2B47" w:rsidRDefault="00020217" w:rsidP="00D924A3">
          <w:pPr>
            <w:tabs>
              <w:tab w:val="left" w:pos="7711"/>
            </w:tabs>
            <w:spacing w:after="0" w:line="264" w:lineRule="auto"/>
            <w:ind w:right="-1135"/>
            <w:rPr>
              <w:color w:val="6F89AC" w:themeColor="accent1"/>
            </w:rPr>
          </w:pPr>
        </w:p>
      </w:tc>
      <w:tc>
        <w:tcPr>
          <w:tcW w:w="1675" w:type="dxa"/>
        </w:tcPr>
        <w:p w:rsidR="001F42EA" w:rsidRPr="005A2B47" w:rsidRDefault="001F42EA" w:rsidP="00D924A3">
          <w:pPr>
            <w:tabs>
              <w:tab w:val="left" w:pos="7711"/>
            </w:tabs>
            <w:spacing w:after="0" w:line="264" w:lineRule="auto"/>
            <w:ind w:right="-1135"/>
            <w:rPr>
              <w:rFonts w:cs="Arial"/>
              <w:color w:val="6F89AC" w:themeColor="accent1"/>
              <w:spacing w:val="2"/>
              <w:sz w:val="14"/>
              <w:szCs w:val="14"/>
            </w:rPr>
          </w:pPr>
        </w:p>
      </w:tc>
      <w:tc>
        <w:tcPr>
          <w:tcW w:w="2693" w:type="dxa"/>
        </w:tcPr>
        <w:p w:rsidR="00020217" w:rsidRPr="001F42EA" w:rsidRDefault="00020217" w:rsidP="00D924A3">
          <w:pPr>
            <w:tabs>
              <w:tab w:val="left" w:pos="7711"/>
            </w:tabs>
            <w:spacing w:after="0" w:line="264" w:lineRule="auto"/>
            <w:ind w:right="-1135"/>
            <w:rPr>
              <w:rFonts w:cs="Arial"/>
              <w:color w:val="6F89AC" w:themeColor="accent1"/>
              <w:spacing w:val="2"/>
              <w:sz w:val="14"/>
              <w:lang w:val="en-GB"/>
            </w:rPr>
          </w:pPr>
        </w:p>
      </w:tc>
      <w:tc>
        <w:tcPr>
          <w:tcW w:w="1413" w:type="dxa"/>
        </w:tcPr>
        <w:p w:rsidR="00020217" w:rsidRPr="001F42EA" w:rsidRDefault="00020217" w:rsidP="00D924A3">
          <w:pPr>
            <w:pStyle w:val="Fuzeile"/>
            <w:spacing w:after="0"/>
            <w:jc w:val="right"/>
            <w:rPr>
              <w:lang w:val="en-GB"/>
            </w:rPr>
          </w:pPr>
        </w:p>
      </w:tc>
    </w:tr>
  </w:tbl>
  <w:p w:rsidR="00020217" w:rsidRPr="001F42EA" w:rsidRDefault="00020217">
    <w:pPr>
      <w:pStyle w:val="Fuzeile"/>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0CC" w:rsidRDefault="00D600CC">
      <w:r>
        <w:separator/>
      </w:r>
    </w:p>
  </w:footnote>
  <w:footnote w:type="continuationSeparator" w:id="0">
    <w:p w:rsidR="00D600CC" w:rsidRDefault="00D600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E7"/>
    <w:rsid w:val="00000B5E"/>
    <w:rsid w:val="00011BD0"/>
    <w:rsid w:val="00020217"/>
    <w:rsid w:val="000401F1"/>
    <w:rsid w:val="00055F4A"/>
    <w:rsid w:val="00085BA1"/>
    <w:rsid w:val="000A497E"/>
    <w:rsid w:val="000A591D"/>
    <w:rsid w:val="000C2109"/>
    <w:rsid w:val="000C3BD5"/>
    <w:rsid w:val="000D1739"/>
    <w:rsid w:val="000D30C9"/>
    <w:rsid w:val="000D4B44"/>
    <w:rsid w:val="00111CD6"/>
    <w:rsid w:val="001145A4"/>
    <w:rsid w:val="00115BEC"/>
    <w:rsid w:val="001303D8"/>
    <w:rsid w:val="00133476"/>
    <w:rsid w:val="0014785F"/>
    <w:rsid w:val="00152E35"/>
    <w:rsid w:val="001542A4"/>
    <w:rsid w:val="001A5DAF"/>
    <w:rsid w:val="001B1640"/>
    <w:rsid w:val="001D36AE"/>
    <w:rsid w:val="001D4DF9"/>
    <w:rsid w:val="001E7F4A"/>
    <w:rsid w:val="001F42EA"/>
    <w:rsid w:val="001F5783"/>
    <w:rsid w:val="00207B0D"/>
    <w:rsid w:val="002416F6"/>
    <w:rsid w:val="002420F9"/>
    <w:rsid w:val="00245DCB"/>
    <w:rsid w:val="002711E5"/>
    <w:rsid w:val="0028142E"/>
    <w:rsid w:val="00286D56"/>
    <w:rsid w:val="002A0F77"/>
    <w:rsid w:val="002B5575"/>
    <w:rsid w:val="002C2C18"/>
    <w:rsid w:val="002E403E"/>
    <w:rsid w:val="002F113B"/>
    <w:rsid w:val="002F2CFB"/>
    <w:rsid w:val="002F6C71"/>
    <w:rsid w:val="00321BD4"/>
    <w:rsid w:val="00346E7F"/>
    <w:rsid w:val="00363477"/>
    <w:rsid w:val="00367566"/>
    <w:rsid w:val="00374DE9"/>
    <w:rsid w:val="00387689"/>
    <w:rsid w:val="00395066"/>
    <w:rsid w:val="00397D03"/>
    <w:rsid w:val="003E3E6E"/>
    <w:rsid w:val="003F6C9E"/>
    <w:rsid w:val="00425AED"/>
    <w:rsid w:val="0042642C"/>
    <w:rsid w:val="00466A8F"/>
    <w:rsid w:val="004873DE"/>
    <w:rsid w:val="0048794D"/>
    <w:rsid w:val="00491D88"/>
    <w:rsid w:val="00492BAE"/>
    <w:rsid w:val="004A3771"/>
    <w:rsid w:val="004C5908"/>
    <w:rsid w:val="004F3A33"/>
    <w:rsid w:val="004F7AD9"/>
    <w:rsid w:val="0050307E"/>
    <w:rsid w:val="0050376A"/>
    <w:rsid w:val="005059C0"/>
    <w:rsid w:val="005259B1"/>
    <w:rsid w:val="00530F20"/>
    <w:rsid w:val="00563B4A"/>
    <w:rsid w:val="00587D10"/>
    <w:rsid w:val="005A2B47"/>
    <w:rsid w:val="005D0E41"/>
    <w:rsid w:val="005F7E4A"/>
    <w:rsid w:val="00602E6E"/>
    <w:rsid w:val="00607949"/>
    <w:rsid w:val="006354FD"/>
    <w:rsid w:val="006560D0"/>
    <w:rsid w:val="00664FB9"/>
    <w:rsid w:val="00665366"/>
    <w:rsid w:val="00685042"/>
    <w:rsid w:val="006857F6"/>
    <w:rsid w:val="00687177"/>
    <w:rsid w:val="00694324"/>
    <w:rsid w:val="006A74AF"/>
    <w:rsid w:val="006E2E18"/>
    <w:rsid w:val="006E38BE"/>
    <w:rsid w:val="006F1DE7"/>
    <w:rsid w:val="00701D11"/>
    <w:rsid w:val="00734335"/>
    <w:rsid w:val="0073443E"/>
    <w:rsid w:val="00742064"/>
    <w:rsid w:val="00743EFD"/>
    <w:rsid w:val="007615F5"/>
    <w:rsid w:val="007619FC"/>
    <w:rsid w:val="00790DA3"/>
    <w:rsid w:val="007B58B2"/>
    <w:rsid w:val="007B6AC2"/>
    <w:rsid w:val="007B74C1"/>
    <w:rsid w:val="007C0EE7"/>
    <w:rsid w:val="007D243E"/>
    <w:rsid w:val="007D7D6A"/>
    <w:rsid w:val="007E0DD7"/>
    <w:rsid w:val="007F6084"/>
    <w:rsid w:val="0081474E"/>
    <w:rsid w:val="00824F13"/>
    <w:rsid w:val="00837AD1"/>
    <w:rsid w:val="008401FD"/>
    <w:rsid w:val="00843EAC"/>
    <w:rsid w:val="00850CDA"/>
    <w:rsid w:val="00860478"/>
    <w:rsid w:val="00860AD7"/>
    <w:rsid w:val="00862E98"/>
    <w:rsid w:val="00877F24"/>
    <w:rsid w:val="008905DB"/>
    <w:rsid w:val="008B42AA"/>
    <w:rsid w:val="008B5629"/>
    <w:rsid w:val="008B74B1"/>
    <w:rsid w:val="008E7F35"/>
    <w:rsid w:val="008F7D84"/>
    <w:rsid w:val="00906191"/>
    <w:rsid w:val="00936F47"/>
    <w:rsid w:val="00947832"/>
    <w:rsid w:val="00947EA3"/>
    <w:rsid w:val="00967B2C"/>
    <w:rsid w:val="00974980"/>
    <w:rsid w:val="00977CFF"/>
    <w:rsid w:val="00982300"/>
    <w:rsid w:val="0099080F"/>
    <w:rsid w:val="00995350"/>
    <w:rsid w:val="009C435A"/>
    <w:rsid w:val="009C4EC3"/>
    <w:rsid w:val="00A10BBA"/>
    <w:rsid w:val="00A27507"/>
    <w:rsid w:val="00A439E7"/>
    <w:rsid w:val="00A8278F"/>
    <w:rsid w:val="00AD3751"/>
    <w:rsid w:val="00AD5B97"/>
    <w:rsid w:val="00B06063"/>
    <w:rsid w:val="00B80894"/>
    <w:rsid w:val="00C05356"/>
    <w:rsid w:val="00C2444A"/>
    <w:rsid w:val="00C53F5D"/>
    <w:rsid w:val="00C75274"/>
    <w:rsid w:val="00C845AE"/>
    <w:rsid w:val="00CA4C3A"/>
    <w:rsid w:val="00CE610D"/>
    <w:rsid w:val="00CF3D87"/>
    <w:rsid w:val="00D02F48"/>
    <w:rsid w:val="00D24959"/>
    <w:rsid w:val="00D416A8"/>
    <w:rsid w:val="00D44B4D"/>
    <w:rsid w:val="00D50900"/>
    <w:rsid w:val="00D600CC"/>
    <w:rsid w:val="00D62738"/>
    <w:rsid w:val="00D763CF"/>
    <w:rsid w:val="00D924A3"/>
    <w:rsid w:val="00DA0960"/>
    <w:rsid w:val="00DC0BA0"/>
    <w:rsid w:val="00DC0FAB"/>
    <w:rsid w:val="00DD2FB6"/>
    <w:rsid w:val="00DE6F7F"/>
    <w:rsid w:val="00DE7A74"/>
    <w:rsid w:val="00E033F8"/>
    <w:rsid w:val="00E17F39"/>
    <w:rsid w:val="00E566C1"/>
    <w:rsid w:val="00E66228"/>
    <w:rsid w:val="00E8305B"/>
    <w:rsid w:val="00E92AA7"/>
    <w:rsid w:val="00EB263B"/>
    <w:rsid w:val="00EB43DF"/>
    <w:rsid w:val="00EE2986"/>
    <w:rsid w:val="00EE3DBE"/>
    <w:rsid w:val="00EE5339"/>
    <w:rsid w:val="00EE73AF"/>
    <w:rsid w:val="00F00A66"/>
    <w:rsid w:val="00F032C5"/>
    <w:rsid w:val="00F168B0"/>
    <w:rsid w:val="00F22172"/>
    <w:rsid w:val="00F41D56"/>
    <w:rsid w:val="00F42EDB"/>
    <w:rsid w:val="00F746D8"/>
    <w:rsid w:val="00F82167"/>
    <w:rsid w:val="00F83C83"/>
    <w:rsid w:val="00FB020C"/>
    <w:rsid w:val="00FC14FA"/>
    <w:rsid w:val="00FF245E"/>
    <w:rsid w:val="00FF5861"/>
    <w:rsid w:val="00FF7E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53408F"/>
  <w15:docId w15:val="{00E6317C-FF63-43E7-BB5D-422D9BF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2E18"/>
    <w:pPr>
      <w:overflowPunct w:val="0"/>
      <w:autoSpaceDE w:val="0"/>
      <w:autoSpaceDN w:val="0"/>
      <w:adjustRightInd w:val="0"/>
      <w:spacing w:after="120" w:line="276" w:lineRule="auto"/>
      <w:textAlignment w:val="baseline"/>
    </w:pPr>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Sprechblasentext">
    <w:name w:val="Balloon Text"/>
    <w:basedOn w:val="Standard"/>
    <w:semiHidden/>
    <w:rsid w:val="003E3E6E"/>
    <w:rPr>
      <w:rFonts w:ascii="Tahoma" w:hAnsi="Tahoma" w:cs="Tahoma"/>
      <w:sz w:val="16"/>
      <w:szCs w:val="16"/>
    </w:rPr>
  </w:style>
  <w:style w:type="table" w:styleId="Tabellenraster">
    <w:name w:val="Table Grid"/>
    <w:basedOn w:val="NormaleTabelle"/>
    <w:uiPriority w:val="59"/>
    <w:rsid w:val="0002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020217"/>
    <w:rPr>
      <w:rFonts w:ascii="Arial" w:hAnsi="Arial"/>
    </w:rPr>
  </w:style>
  <w:style w:type="paragraph" w:styleId="Listenabsatz">
    <w:name w:val="List Paragraph"/>
    <w:basedOn w:val="Standard"/>
    <w:uiPriority w:val="34"/>
    <w:qFormat/>
    <w:rsid w:val="00977CFF"/>
    <w:pPr>
      <w:overflowPunct/>
      <w:autoSpaceDE/>
      <w:autoSpaceDN/>
      <w:adjustRightInd/>
      <w:spacing w:after="0" w:line="240" w:lineRule="auto"/>
      <w:ind w:left="720"/>
      <w:textAlignment w:val="auto"/>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404718">
      <w:bodyDiv w:val="1"/>
      <w:marLeft w:val="0"/>
      <w:marRight w:val="0"/>
      <w:marTop w:val="0"/>
      <w:marBottom w:val="0"/>
      <w:divBdr>
        <w:top w:val="none" w:sz="0" w:space="0" w:color="auto"/>
        <w:left w:val="none" w:sz="0" w:space="0" w:color="auto"/>
        <w:bottom w:val="none" w:sz="0" w:space="0" w:color="auto"/>
        <w:right w:val="none" w:sz="0" w:space="0" w:color="auto"/>
      </w:divBdr>
      <w:divsChild>
        <w:div w:id="272246397">
          <w:marLeft w:val="0"/>
          <w:marRight w:val="0"/>
          <w:marTop w:val="0"/>
          <w:marBottom w:val="0"/>
          <w:divBdr>
            <w:top w:val="none" w:sz="0" w:space="0" w:color="auto"/>
            <w:left w:val="none" w:sz="0" w:space="0" w:color="auto"/>
            <w:bottom w:val="none" w:sz="0" w:space="0" w:color="auto"/>
            <w:right w:val="none" w:sz="0" w:space="0" w:color="auto"/>
          </w:divBdr>
        </w:div>
        <w:div w:id="1092556372">
          <w:marLeft w:val="0"/>
          <w:marRight w:val="0"/>
          <w:marTop w:val="0"/>
          <w:marBottom w:val="0"/>
          <w:divBdr>
            <w:top w:val="none" w:sz="0" w:space="0" w:color="auto"/>
            <w:left w:val="none" w:sz="0" w:space="0" w:color="auto"/>
            <w:bottom w:val="none" w:sz="0" w:space="0" w:color="auto"/>
            <w:right w:val="none" w:sz="0" w:space="0" w:color="auto"/>
          </w:divBdr>
        </w:div>
      </w:divsChild>
    </w:div>
    <w:div w:id="95633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Eigene\Kopfbogen%20oleg.dot" TargetMode="External"/></Relationships>
</file>

<file path=word/theme/theme1.xml><?xml version="1.0" encoding="utf-8"?>
<a:theme xmlns:a="http://schemas.openxmlformats.org/drawingml/2006/main" name="Larissa">
  <a:themeElements>
    <a:clrScheme name="oleg_intern">
      <a:dk1>
        <a:sysClr val="windowText" lastClr="000000"/>
      </a:dk1>
      <a:lt1>
        <a:sysClr val="window" lastClr="FFFFFF"/>
      </a:lt1>
      <a:dk2>
        <a:srgbClr val="334458"/>
      </a:dk2>
      <a:lt2>
        <a:srgbClr val="E7E6E6"/>
      </a:lt2>
      <a:accent1>
        <a:srgbClr val="6F89AC"/>
      </a:accent1>
      <a:accent2>
        <a:srgbClr val="7C9B19"/>
      </a:accent2>
      <a:accent3>
        <a:srgbClr val="A5A5A5"/>
      </a:accent3>
      <a:accent4>
        <a:srgbClr val="FFC000"/>
      </a:accent4>
      <a:accent5>
        <a:srgbClr val="ED7D31"/>
      </a:accent5>
      <a:accent6>
        <a:srgbClr val="4472C4"/>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E8B2A-8766-4B38-89F3-45A37D62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oleg.dot</Template>
  <TotalTime>0</TotalTime>
  <Pages>2</Pages>
  <Words>625</Words>
  <Characters>4057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Monika Kleinheider</dc:creator>
  <cp:lastModifiedBy>Brinkschröder, Daniel</cp:lastModifiedBy>
  <cp:revision>2</cp:revision>
  <cp:lastPrinted>2024-08-20T07:39:00Z</cp:lastPrinted>
  <dcterms:created xsi:type="dcterms:W3CDTF">2024-10-18T10:10:00Z</dcterms:created>
  <dcterms:modified xsi:type="dcterms:W3CDTF">2024-10-18T10:10:00Z</dcterms:modified>
</cp:coreProperties>
</file>