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1216"/>
        <w:tblW w:w="9923" w:type="dxa"/>
        <w:tblLayout w:type="fixed"/>
        <w:tblCellMar>
          <w:left w:w="70" w:type="dxa"/>
          <w:right w:w="70" w:type="dxa"/>
        </w:tblCellMar>
        <w:tblLook w:val="0000" w:firstRow="0" w:lastRow="0" w:firstColumn="0" w:lastColumn="0" w:noHBand="0" w:noVBand="0"/>
      </w:tblPr>
      <w:tblGrid>
        <w:gridCol w:w="7797"/>
        <w:gridCol w:w="2126"/>
      </w:tblGrid>
      <w:tr w:rsidR="007D243E" w:rsidRPr="00491D88" w:rsidTr="00F168B0">
        <w:trPr>
          <w:cantSplit/>
          <w:trHeight w:val="1451"/>
        </w:trPr>
        <w:tc>
          <w:tcPr>
            <w:tcW w:w="7797" w:type="dxa"/>
          </w:tcPr>
          <w:p w:rsidR="007D243E" w:rsidRPr="00491D88" w:rsidRDefault="007D243E" w:rsidP="00F168B0">
            <w:pPr>
              <w:rPr>
                <w:rFonts w:cs="Arial"/>
                <w:sz w:val="12"/>
              </w:rPr>
            </w:pPr>
            <w:bookmarkStart w:id="0" w:name="_GoBack"/>
            <w:bookmarkEnd w:id="0"/>
          </w:p>
        </w:tc>
        <w:tc>
          <w:tcPr>
            <w:tcW w:w="2126" w:type="dxa"/>
            <w:vAlign w:val="center"/>
          </w:tcPr>
          <w:p w:rsidR="007D243E" w:rsidRPr="00491D88" w:rsidRDefault="00020217" w:rsidP="00F168B0">
            <w:pPr>
              <w:spacing w:line="360" w:lineRule="auto"/>
              <w:jc w:val="right"/>
              <w:rPr>
                <w:rFonts w:cs="Arial"/>
                <w:sz w:val="8"/>
              </w:rPr>
            </w:pPr>
            <w:r>
              <w:rPr>
                <w:rFonts w:cs="Arial"/>
                <w:b/>
                <w:noProof/>
                <w:spacing w:val="32"/>
                <w:sz w:val="32"/>
              </w:rPr>
              <w:drawing>
                <wp:anchor distT="0" distB="0" distL="114300" distR="114300" simplePos="0" relativeHeight="251659264" behindDoc="0" locked="0" layoutInCell="1" allowOverlap="1" wp14:anchorId="693108E0" wp14:editId="192E766F">
                  <wp:simplePos x="0" y="0"/>
                  <wp:positionH relativeFrom="column">
                    <wp:posOffset>2540</wp:posOffset>
                  </wp:positionH>
                  <wp:positionV relativeFrom="paragraph">
                    <wp:posOffset>3810</wp:posOffset>
                  </wp:positionV>
                  <wp:extent cx="1260000" cy="723600"/>
                  <wp:effectExtent l="0" t="0" r="0" b="63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leg logo ausdruck inter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0000" cy="723600"/>
                          </a:xfrm>
                          <a:prstGeom prst="rect">
                            <a:avLst/>
                          </a:prstGeom>
                        </pic:spPr>
                      </pic:pic>
                    </a:graphicData>
                  </a:graphic>
                  <wp14:sizeRelH relativeFrom="margin">
                    <wp14:pctWidth>0</wp14:pctWidth>
                  </wp14:sizeRelH>
                  <wp14:sizeRelV relativeFrom="margin">
                    <wp14:pctHeight>0</wp14:pctHeight>
                  </wp14:sizeRelV>
                </wp:anchor>
              </w:drawing>
            </w:r>
          </w:p>
          <w:p w:rsidR="007D243E" w:rsidRPr="00491D88" w:rsidRDefault="007D243E" w:rsidP="00F168B0">
            <w:pPr>
              <w:spacing w:line="360" w:lineRule="auto"/>
              <w:jc w:val="right"/>
              <w:rPr>
                <w:rFonts w:cs="Arial"/>
                <w:b/>
                <w:spacing w:val="32"/>
                <w:sz w:val="32"/>
              </w:rPr>
            </w:pPr>
          </w:p>
          <w:p w:rsidR="007D243E" w:rsidRPr="00491D88" w:rsidRDefault="007D243E" w:rsidP="00F168B0">
            <w:pPr>
              <w:spacing w:line="360" w:lineRule="auto"/>
              <w:jc w:val="right"/>
              <w:rPr>
                <w:rFonts w:cs="Arial"/>
                <w:sz w:val="12"/>
              </w:rPr>
            </w:pPr>
          </w:p>
        </w:tc>
      </w:tr>
      <w:tr w:rsidR="00936F47" w:rsidRPr="00020217" w:rsidTr="00F168B0">
        <w:trPr>
          <w:gridAfter w:val="1"/>
          <w:wAfter w:w="2126" w:type="dxa"/>
          <w:cantSplit/>
        </w:trPr>
        <w:tc>
          <w:tcPr>
            <w:tcW w:w="7797" w:type="dxa"/>
          </w:tcPr>
          <w:p w:rsidR="00936F47" w:rsidRPr="00491D88" w:rsidRDefault="00936F47" w:rsidP="006E2E18">
            <w:pPr>
              <w:spacing w:after="0"/>
              <w:ind w:left="-73"/>
              <w:rPr>
                <w:rFonts w:cs="Arial"/>
                <w:sz w:val="13"/>
              </w:rPr>
            </w:pPr>
            <w:r w:rsidRPr="00936F47">
              <w:rPr>
                <w:rFonts w:cs="Arial"/>
                <w:b/>
                <w:bCs/>
                <w:noProof/>
                <w:sz w:val="22"/>
                <w:szCs w:val="24"/>
              </w:rPr>
              <mc:AlternateContent>
                <mc:Choice Requires="wps">
                  <w:drawing>
                    <wp:anchor distT="0" distB="0" distL="114300" distR="114300" simplePos="0" relativeHeight="251662336" behindDoc="0" locked="0" layoutInCell="1" allowOverlap="1" wp14:anchorId="4724F12B" wp14:editId="6F44DE74">
                      <wp:simplePos x="0" y="0"/>
                      <wp:positionH relativeFrom="column">
                        <wp:posOffset>4798695</wp:posOffset>
                      </wp:positionH>
                      <wp:positionV relativeFrom="paragraph">
                        <wp:posOffset>12065</wp:posOffset>
                      </wp:positionV>
                      <wp:extent cx="1416685" cy="1060450"/>
                      <wp:effectExtent l="0" t="0" r="12065" b="6350"/>
                      <wp:wrapNone/>
                      <wp:docPr id="3" name="Textfeld 3"/>
                      <wp:cNvGraphicFramePr/>
                      <a:graphic xmlns:a="http://schemas.openxmlformats.org/drawingml/2006/main">
                        <a:graphicData uri="http://schemas.microsoft.com/office/word/2010/wordprocessingShape">
                          <wps:wsp>
                            <wps:cNvSpPr txBox="1"/>
                            <wps:spPr>
                              <a:xfrm>
                                <a:off x="0" y="0"/>
                                <a:ext cx="1416685" cy="1060450"/>
                              </a:xfrm>
                              <a:prstGeom prst="rect">
                                <a:avLst/>
                              </a:prstGeom>
                              <a:noFill/>
                              <a:ln w="6350">
                                <a:noFill/>
                              </a:ln>
                            </wps:spPr>
                            <wps:txbx>
                              <w:txbxContent>
                                <w:p w:rsidR="00936F47" w:rsidRPr="00734335" w:rsidRDefault="00363477" w:rsidP="00936F47">
                                  <w:pPr>
                                    <w:tabs>
                                      <w:tab w:val="left" w:pos="497"/>
                                    </w:tabs>
                                    <w:spacing w:after="0" w:line="264" w:lineRule="auto"/>
                                    <w:jc w:val="right"/>
                                    <w:rPr>
                                      <w:rFonts w:cs="Arial"/>
                                      <w:color w:val="6F89AC" w:themeColor="accent1"/>
                                      <w:sz w:val="14"/>
                                    </w:rPr>
                                  </w:pPr>
                                  <w:r>
                                    <w:rPr>
                                      <w:rFonts w:cs="Arial"/>
                                      <w:color w:val="6F89AC" w:themeColor="accent1"/>
                                      <w:sz w:val="14"/>
                                    </w:rPr>
                                    <w:t>Telefon</w:t>
                                  </w:r>
                                  <w:r>
                                    <w:rPr>
                                      <w:rFonts w:cs="Arial"/>
                                      <w:color w:val="6F89AC" w:themeColor="accent1"/>
                                      <w:sz w:val="14"/>
                                    </w:rPr>
                                    <w:tab/>
                                    <w:t>(0541) 501 - 4921</w:t>
                                  </w:r>
                                </w:p>
                                <w:p w:rsidR="00936F47" w:rsidRPr="00734335" w:rsidRDefault="00363477" w:rsidP="00936F47">
                                  <w:pPr>
                                    <w:tabs>
                                      <w:tab w:val="left" w:pos="497"/>
                                    </w:tabs>
                                    <w:spacing w:after="0" w:line="264" w:lineRule="auto"/>
                                    <w:jc w:val="right"/>
                                    <w:rPr>
                                      <w:rFonts w:cs="Arial"/>
                                      <w:color w:val="6F89AC" w:themeColor="accent1"/>
                                      <w:sz w:val="14"/>
                                    </w:rPr>
                                  </w:pPr>
                                  <w:r>
                                    <w:rPr>
                                      <w:rFonts w:cs="Arial"/>
                                      <w:color w:val="6F89AC" w:themeColor="accent1"/>
                                      <w:sz w:val="14"/>
                                    </w:rPr>
                                    <w:t>Telefax</w:t>
                                  </w:r>
                                  <w:r>
                                    <w:rPr>
                                      <w:rFonts w:cs="Arial"/>
                                      <w:color w:val="6F89AC" w:themeColor="accent1"/>
                                      <w:sz w:val="14"/>
                                    </w:rPr>
                                    <w:tab/>
                                    <w:t>(0541) 501 - 6 4921</w:t>
                                  </w:r>
                                  <w:r w:rsidR="00967B2C">
                                    <w:rPr>
                                      <w:rFonts w:cs="Arial"/>
                                      <w:color w:val="6F89AC" w:themeColor="accent1"/>
                                      <w:sz w:val="14"/>
                                    </w:rPr>
                                    <w:t xml:space="preserve"> </w:t>
                                  </w:r>
                                </w:p>
                                <w:p w:rsidR="00936F47" w:rsidRPr="00734335" w:rsidRDefault="00363477" w:rsidP="00936F47">
                                  <w:pPr>
                                    <w:tabs>
                                      <w:tab w:val="left" w:pos="497"/>
                                    </w:tabs>
                                    <w:spacing w:after="0" w:line="264" w:lineRule="auto"/>
                                    <w:jc w:val="right"/>
                                    <w:rPr>
                                      <w:rFonts w:cs="Arial"/>
                                      <w:color w:val="6F89AC" w:themeColor="accent1"/>
                                      <w:spacing w:val="8"/>
                                      <w:sz w:val="14"/>
                                    </w:rPr>
                                  </w:pPr>
                                  <w:r>
                                    <w:rPr>
                                      <w:rFonts w:cs="Arial"/>
                                      <w:color w:val="6F89AC" w:themeColor="accent1"/>
                                      <w:spacing w:val="8"/>
                                      <w:sz w:val="14"/>
                                    </w:rPr>
                                    <w:t>brinkschroeder</w:t>
                                  </w:r>
                                  <w:r w:rsidR="00936F47" w:rsidRPr="00734335">
                                    <w:rPr>
                                      <w:rFonts w:cs="Arial"/>
                                      <w:color w:val="6F89AC" w:themeColor="accent1"/>
                                      <w:spacing w:val="8"/>
                                      <w:sz w:val="14"/>
                                    </w:rPr>
                                    <w:t>@</w:t>
                                  </w:r>
                                  <w:r w:rsidR="00936F47" w:rsidRPr="00860478">
                                    <w:rPr>
                                      <w:rFonts w:cs="Arial"/>
                                      <w:color w:val="6F89AC"/>
                                      <w:spacing w:val="8"/>
                                      <w:sz w:val="14"/>
                                    </w:rPr>
                                    <w:t>oleg</w:t>
                                  </w:r>
                                  <w:r w:rsidR="00936F47" w:rsidRPr="00734335">
                                    <w:rPr>
                                      <w:rFonts w:cs="Arial"/>
                                      <w:color w:val="6F89AC" w:themeColor="accent1"/>
                                      <w:spacing w:val="8"/>
                                      <w:sz w:val="14"/>
                                    </w:rPr>
                                    <w:t>.de</w:t>
                                  </w:r>
                                </w:p>
                                <w:p w:rsidR="00936F47" w:rsidRPr="001F42EA" w:rsidRDefault="00936F47" w:rsidP="00936F47">
                                  <w:pPr>
                                    <w:tabs>
                                      <w:tab w:val="left" w:pos="497"/>
                                    </w:tabs>
                                    <w:spacing w:after="0" w:line="264" w:lineRule="auto"/>
                                    <w:jc w:val="right"/>
                                    <w:rPr>
                                      <w:rFonts w:cs="Arial"/>
                                      <w:color w:val="6F89AC" w:themeColor="accent1"/>
                                      <w:sz w:val="14"/>
                                    </w:rPr>
                                  </w:pPr>
                                  <w:r w:rsidRPr="001F42EA">
                                    <w:rPr>
                                      <w:rFonts w:cs="Arial"/>
                                      <w:color w:val="6F89AC" w:themeColor="accent1"/>
                                      <w:sz w:val="14"/>
                                    </w:rPr>
                                    <w:t>www.oleg.de</w:t>
                                  </w:r>
                                </w:p>
                                <w:p w:rsidR="00936F47" w:rsidRPr="00734335" w:rsidRDefault="00363477" w:rsidP="00936F47">
                                  <w:pPr>
                                    <w:tabs>
                                      <w:tab w:val="left" w:pos="497"/>
                                    </w:tabs>
                                    <w:spacing w:after="0" w:line="264" w:lineRule="auto"/>
                                    <w:jc w:val="right"/>
                                    <w:rPr>
                                      <w:rFonts w:cs="Arial"/>
                                      <w:color w:val="6F89AC" w:themeColor="accent1"/>
                                      <w:sz w:val="14"/>
                                      <w:lang w:val="en-US"/>
                                    </w:rPr>
                                  </w:pPr>
                                  <w:r>
                                    <w:rPr>
                                      <w:rFonts w:cs="Arial"/>
                                      <w:color w:val="6F89AC" w:themeColor="accent1"/>
                                      <w:sz w:val="14"/>
                                      <w:lang w:val="en-US"/>
                                    </w:rPr>
                                    <w:t>Daniel Brinkschröder</w:t>
                                  </w:r>
                                </w:p>
                                <w:p w:rsidR="00936F47" w:rsidRPr="00734335" w:rsidRDefault="00936F47" w:rsidP="00936F47">
                                  <w:pPr>
                                    <w:tabs>
                                      <w:tab w:val="left" w:pos="497"/>
                                    </w:tabs>
                                    <w:spacing w:after="0" w:line="264" w:lineRule="auto"/>
                                    <w:jc w:val="right"/>
                                    <w:rPr>
                                      <w:rFonts w:cs="Arial"/>
                                      <w:color w:val="6F89AC" w:themeColor="accent1"/>
                                      <w:sz w:val="14"/>
                                      <w:lang w:val="en-US"/>
                                    </w:rPr>
                                  </w:pPr>
                                </w:p>
                                <w:p w:rsidR="00936F47" w:rsidRPr="00734335" w:rsidRDefault="00936F47" w:rsidP="00936F47">
                                  <w:pPr>
                                    <w:tabs>
                                      <w:tab w:val="left" w:pos="497"/>
                                    </w:tabs>
                                    <w:spacing w:after="0" w:line="264" w:lineRule="auto"/>
                                    <w:jc w:val="right"/>
                                    <w:rPr>
                                      <w:rFonts w:cs="Arial"/>
                                      <w:color w:val="6F89AC" w:themeColor="accent1"/>
                                      <w:sz w:val="14"/>
                                      <w:lang w:val="en-US"/>
                                    </w:rPr>
                                  </w:pPr>
                                </w:p>
                                <w:p w:rsidR="00936F47" w:rsidRPr="00EE2986" w:rsidRDefault="002C25D5" w:rsidP="00936F47">
                                  <w:pPr>
                                    <w:tabs>
                                      <w:tab w:val="left" w:pos="497"/>
                                    </w:tabs>
                                    <w:spacing w:after="0" w:line="264" w:lineRule="auto"/>
                                    <w:jc w:val="right"/>
                                    <w:rPr>
                                      <w:rFonts w:cs="Arial"/>
                                      <w:noProof/>
                                      <w:color w:val="6F89AC" w:themeColor="accent1"/>
                                      <w:sz w:val="22"/>
                                      <w:szCs w:val="22"/>
                                    </w:rPr>
                                  </w:pPr>
                                  <w:r>
                                    <w:rPr>
                                      <w:rFonts w:cs="Arial"/>
                                      <w:noProof/>
                                      <w:color w:val="6F89AC" w:themeColor="accent1"/>
                                      <w:sz w:val="22"/>
                                      <w:szCs w:val="22"/>
                                    </w:rPr>
                                    <w:t>20.12</w:t>
                                  </w:r>
                                  <w:r w:rsidR="00363477">
                                    <w:rPr>
                                      <w:rFonts w:cs="Arial"/>
                                      <w:noProof/>
                                      <w:color w:val="6F89AC" w:themeColor="accent1"/>
                                      <w:sz w:val="22"/>
                                      <w:szCs w:val="22"/>
                                    </w:rPr>
                                    <w:t>.2024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24F12B" id="_x0000_t202" coordsize="21600,21600" o:spt="202" path="m,l,21600r21600,l21600,xe">
                      <v:stroke joinstyle="miter"/>
                      <v:path gradientshapeok="t" o:connecttype="rect"/>
                    </v:shapetype>
                    <v:shape id="Textfeld 3" o:spid="_x0000_s1026" type="#_x0000_t202" style="position:absolute;left:0;text-align:left;margin-left:377.85pt;margin-top:.95pt;width:111.55pt;height: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" filled="f" stroked="f" strokeweight=".5pt">
                      <v:textbox inset="0,0,0,0">
                        <w:txbxContent>
                          <w:p w:rsidR="00936F47" w:rsidRPr="00734335" w:rsidRDefault="00363477" w:rsidP="00936F47">
                            <w:pPr>
                              <w:tabs>
                                <w:tab w:val="left" w:pos="497"/>
                              </w:tabs>
                              <w:spacing w:after="0" w:line="264" w:lineRule="auto"/>
                              <w:jc w:val="right"/>
                              <w:rPr>
                                <w:rFonts w:cs="Arial"/>
                                <w:color w:val="6F89AC" w:themeColor="accent1"/>
                                <w:sz w:val="14"/>
                              </w:rPr>
                            </w:pPr>
                            <w:r>
                              <w:rPr>
                                <w:rFonts w:cs="Arial"/>
                                <w:color w:val="6F89AC" w:themeColor="accent1"/>
                                <w:sz w:val="14"/>
                              </w:rPr>
                              <w:t>Telefon</w:t>
                            </w:r>
                            <w:r>
                              <w:rPr>
                                <w:rFonts w:cs="Arial"/>
                                <w:color w:val="6F89AC" w:themeColor="accent1"/>
                                <w:sz w:val="14"/>
                              </w:rPr>
                              <w:tab/>
                              <w:t>(0541) 501 - 4921</w:t>
                            </w:r>
                          </w:p>
                          <w:p w:rsidR="00936F47" w:rsidRPr="00734335" w:rsidRDefault="00363477" w:rsidP="00936F47">
                            <w:pPr>
                              <w:tabs>
                                <w:tab w:val="left" w:pos="497"/>
                              </w:tabs>
                              <w:spacing w:after="0" w:line="264" w:lineRule="auto"/>
                              <w:jc w:val="right"/>
                              <w:rPr>
                                <w:rFonts w:cs="Arial"/>
                                <w:color w:val="6F89AC" w:themeColor="accent1"/>
                                <w:sz w:val="14"/>
                              </w:rPr>
                            </w:pPr>
                            <w:r>
                              <w:rPr>
                                <w:rFonts w:cs="Arial"/>
                                <w:color w:val="6F89AC" w:themeColor="accent1"/>
                                <w:sz w:val="14"/>
                              </w:rPr>
                              <w:t>Telefax</w:t>
                            </w:r>
                            <w:r>
                              <w:rPr>
                                <w:rFonts w:cs="Arial"/>
                                <w:color w:val="6F89AC" w:themeColor="accent1"/>
                                <w:sz w:val="14"/>
                              </w:rPr>
                              <w:tab/>
                              <w:t>(0541) 501 - 6 4921</w:t>
                            </w:r>
                            <w:r w:rsidR="00967B2C">
                              <w:rPr>
                                <w:rFonts w:cs="Arial"/>
                                <w:color w:val="6F89AC" w:themeColor="accent1"/>
                                <w:sz w:val="14"/>
                              </w:rPr>
                              <w:t xml:space="preserve"> </w:t>
                            </w:r>
                          </w:p>
                          <w:p w:rsidR="00936F47" w:rsidRPr="00734335" w:rsidRDefault="00363477" w:rsidP="00936F47">
                            <w:pPr>
                              <w:tabs>
                                <w:tab w:val="left" w:pos="497"/>
                              </w:tabs>
                              <w:spacing w:after="0" w:line="264" w:lineRule="auto"/>
                              <w:jc w:val="right"/>
                              <w:rPr>
                                <w:rFonts w:cs="Arial"/>
                                <w:color w:val="6F89AC" w:themeColor="accent1"/>
                                <w:spacing w:val="8"/>
                                <w:sz w:val="14"/>
                              </w:rPr>
                            </w:pPr>
                            <w:r>
                              <w:rPr>
                                <w:rFonts w:cs="Arial"/>
                                <w:color w:val="6F89AC" w:themeColor="accent1"/>
                                <w:spacing w:val="8"/>
                                <w:sz w:val="14"/>
                              </w:rPr>
                              <w:t>brinkschroeder</w:t>
                            </w:r>
                            <w:r w:rsidR="00936F47" w:rsidRPr="00734335">
                              <w:rPr>
                                <w:rFonts w:cs="Arial"/>
                                <w:color w:val="6F89AC" w:themeColor="accent1"/>
                                <w:spacing w:val="8"/>
                                <w:sz w:val="14"/>
                              </w:rPr>
                              <w:t>@</w:t>
                            </w:r>
                            <w:r w:rsidR="00936F47" w:rsidRPr="00860478">
                              <w:rPr>
                                <w:rFonts w:cs="Arial"/>
                                <w:color w:val="6F89AC"/>
                                <w:spacing w:val="8"/>
                                <w:sz w:val="14"/>
                              </w:rPr>
                              <w:t>oleg</w:t>
                            </w:r>
                            <w:r w:rsidR="00936F47" w:rsidRPr="00734335">
                              <w:rPr>
                                <w:rFonts w:cs="Arial"/>
                                <w:color w:val="6F89AC" w:themeColor="accent1"/>
                                <w:spacing w:val="8"/>
                                <w:sz w:val="14"/>
                              </w:rPr>
                              <w:t>.de</w:t>
                            </w:r>
                          </w:p>
                          <w:p w:rsidR="00936F47" w:rsidRPr="001F42EA" w:rsidRDefault="00936F47" w:rsidP="00936F47">
                            <w:pPr>
                              <w:tabs>
                                <w:tab w:val="left" w:pos="497"/>
                              </w:tabs>
                              <w:spacing w:after="0" w:line="264" w:lineRule="auto"/>
                              <w:jc w:val="right"/>
                              <w:rPr>
                                <w:rFonts w:cs="Arial"/>
                                <w:color w:val="6F89AC" w:themeColor="accent1"/>
                                <w:sz w:val="14"/>
                              </w:rPr>
                            </w:pPr>
                            <w:r w:rsidRPr="001F42EA">
                              <w:rPr>
                                <w:rFonts w:cs="Arial"/>
                                <w:color w:val="6F89AC" w:themeColor="accent1"/>
                                <w:sz w:val="14"/>
                              </w:rPr>
                              <w:t>www.oleg.de</w:t>
                            </w:r>
                          </w:p>
                          <w:p w:rsidR="00936F47" w:rsidRPr="00734335" w:rsidRDefault="00363477" w:rsidP="00936F47">
                            <w:pPr>
                              <w:tabs>
                                <w:tab w:val="left" w:pos="497"/>
                              </w:tabs>
                              <w:spacing w:after="0" w:line="264" w:lineRule="auto"/>
                              <w:jc w:val="right"/>
                              <w:rPr>
                                <w:rFonts w:cs="Arial"/>
                                <w:color w:val="6F89AC" w:themeColor="accent1"/>
                                <w:sz w:val="14"/>
                                <w:lang w:val="en-US"/>
                              </w:rPr>
                            </w:pPr>
                            <w:r>
                              <w:rPr>
                                <w:rFonts w:cs="Arial"/>
                                <w:color w:val="6F89AC" w:themeColor="accent1"/>
                                <w:sz w:val="14"/>
                                <w:lang w:val="en-US"/>
                              </w:rPr>
                              <w:t>Daniel Brinkschröder</w:t>
                            </w:r>
                          </w:p>
                          <w:p w:rsidR="00936F47" w:rsidRPr="00734335" w:rsidRDefault="00936F47" w:rsidP="00936F47">
                            <w:pPr>
                              <w:tabs>
                                <w:tab w:val="left" w:pos="497"/>
                              </w:tabs>
                              <w:spacing w:after="0" w:line="264" w:lineRule="auto"/>
                              <w:jc w:val="right"/>
                              <w:rPr>
                                <w:rFonts w:cs="Arial"/>
                                <w:color w:val="6F89AC" w:themeColor="accent1"/>
                                <w:sz w:val="14"/>
                                <w:lang w:val="en-US"/>
                              </w:rPr>
                            </w:pPr>
                          </w:p>
                          <w:p w:rsidR="00936F47" w:rsidRPr="00734335" w:rsidRDefault="00936F47" w:rsidP="00936F47">
                            <w:pPr>
                              <w:tabs>
                                <w:tab w:val="left" w:pos="497"/>
                              </w:tabs>
                              <w:spacing w:after="0" w:line="264" w:lineRule="auto"/>
                              <w:jc w:val="right"/>
                              <w:rPr>
                                <w:rFonts w:cs="Arial"/>
                                <w:color w:val="6F89AC" w:themeColor="accent1"/>
                                <w:sz w:val="14"/>
                                <w:lang w:val="en-US"/>
                              </w:rPr>
                            </w:pPr>
                          </w:p>
                          <w:p w:rsidR="00936F47" w:rsidRPr="00EE2986" w:rsidRDefault="002C25D5" w:rsidP="00936F47">
                            <w:pPr>
                              <w:tabs>
                                <w:tab w:val="left" w:pos="497"/>
                              </w:tabs>
                              <w:spacing w:after="0" w:line="264" w:lineRule="auto"/>
                              <w:jc w:val="right"/>
                              <w:rPr>
                                <w:rFonts w:cs="Arial"/>
                                <w:noProof/>
                                <w:color w:val="6F89AC" w:themeColor="accent1"/>
                                <w:sz w:val="22"/>
                                <w:szCs w:val="22"/>
                              </w:rPr>
                            </w:pPr>
                            <w:r>
                              <w:rPr>
                                <w:rFonts w:cs="Arial"/>
                                <w:noProof/>
                                <w:color w:val="6F89AC" w:themeColor="accent1"/>
                                <w:sz w:val="22"/>
                                <w:szCs w:val="22"/>
                              </w:rPr>
                              <w:t>20.12</w:t>
                            </w:r>
                            <w:r w:rsidR="00363477">
                              <w:rPr>
                                <w:rFonts w:cs="Arial"/>
                                <w:noProof/>
                                <w:color w:val="6F89AC" w:themeColor="accent1"/>
                                <w:sz w:val="22"/>
                                <w:szCs w:val="22"/>
                              </w:rPr>
                              <w:t>.2024</w:t>
                            </w:r>
                          </w:p>
                        </w:txbxContent>
                      </v:textbox>
                    </v:shape>
                  </w:pict>
                </mc:Fallback>
              </mc:AlternateContent>
            </w:r>
          </w:p>
        </w:tc>
      </w:tr>
    </w:tbl>
    <w:p w:rsidR="007615F5" w:rsidRDefault="007615F5" w:rsidP="00701D11">
      <w:pPr>
        <w:tabs>
          <w:tab w:val="left" w:pos="7655"/>
        </w:tabs>
        <w:ind w:right="1418"/>
        <w:jc w:val="both"/>
        <w:rPr>
          <w:rFonts w:cs="Arial"/>
          <w:b/>
          <w:bCs/>
          <w:sz w:val="22"/>
          <w:szCs w:val="24"/>
        </w:rPr>
      </w:pPr>
    </w:p>
    <w:p w:rsidR="007615F5" w:rsidRDefault="007615F5" w:rsidP="00701D11">
      <w:pPr>
        <w:tabs>
          <w:tab w:val="left" w:pos="7655"/>
        </w:tabs>
        <w:ind w:right="1418"/>
        <w:jc w:val="both"/>
        <w:rPr>
          <w:rFonts w:cs="Arial"/>
          <w:b/>
          <w:bCs/>
          <w:sz w:val="22"/>
          <w:szCs w:val="24"/>
        </w:rPr>
      </w:pPr>
    </w:p>
    <w:p w:rsidR="007615F5" w:rsidRDefault="007615F5" w:rsidP="00701D11">
      <w:pPr>
        <w:tabs>
          <w:tab w:val="left" w:pos="7655"/>
        </w:tabs>
        <w:ind w:right="1418"/>
        <w:jc w:val="both"/>
        <w:rPr>
          <w:rFonts w:cs="Arial"/>
          <w:b/>
          <w:bCs/>
          <w:sz w:val="22"/>
          <w:szCs w:val="24"/>
        </w:rPr>
      </w:pPr>
    </w:p>
    <w:p w:rsidR="007615F5" w:rsidRDefault="007615F5" w:rsidP="00701D11">
      <w:pPr>
        <w:tabs>
          <w:tab w:val="left" w:pos="7655"/>
        </w:tabs>
        <w:ind w:right="1418"/>
        <w:jc w:val="both"/>
        <w:rPr>
          <w:rFonts w:cs="Arial"/>
          <w:b/>
          <w:bCs/>
          <w:sz w:val="22"/>
          <w:szCs w:val="24"/>
        </w:rPr>
      </w:pPr>
    </w:p>
    <w:p w:rsidR="007615F5" w:rsidRDefault="007615F5" w:rsidP="00701D11">
      <w:pPr>
        <w:tabs>
          <w:tab w:val="left" w:pos="7655"/>
        </w:tabs>
        <w:ind w:right="1418"/>
        <w:jc w:val="both"/>
        <w:rPr>
          <w:rFonts w:cs="Arial"/>
          <w:b/>
          <w:bCs/>
          <w:sz w:val="22"/>
          <w:szCs w:val="24"/>
        </w:rPr>
      </w:pPr>
    </w:p>
    <w:p w:rsidR="00DE7A74" w:rsidRPr="00977CFF" w:rsidRDefault="00977CFF" w:rsidP="001E7F4A">
      <w:pPr>
        <w:tabs>
          <w:tab w:val="left" w:pos="7655"/>
        </w:tabs>
        <w:ind w:right="1418"/>
        <w:jc w:val="both"/>
        <w:rPr>
          <w:rFonts w:cs="Arial"/>
          <w:b/>
          <w:sz w:val="28"/>
          <w:szCs w:val="22"/>
        </w:rPr>
      </w:pPr>
      <w:r w:rsidRPr="00977CFF">
        <w:rPr>
          <w:rFonts w:cs="Arial"/>
          <w:b/>
          <w:sz w:val="28"/>
          <w:szCs w:val="22"/>
        </w:rPr>
        <w:t>Pressemitteilung</w:t>
      </w:r>
    </w:p>
    <w:p w:rsidR="00977CFF" w:rsidRDefault="00977CFF" w:rsidP="00977CFF">
      <w:pPr>
        <w:spacing w:line="360" w:lineRule="auto"/>
        <w:rPr>
          <w:rFonts w:cs="Arial"/>
          <w:b/>
          <w:sz w:val="28"/>
          <w:szCs w:val="28"/>
        </w:rPr>
      </w:pPr>
    </w:p>
    <w:p w:rsidR="002C25D5" w:rsidRPr="002C25D5" w:rsidRDefault="002C25D5" w:rsidP="002C25D5">
      <w:pPr>
        <w:rPr>
          <w:b/>
          <w:sz w:val="24"/>
        </w:rPr>
      </w:pPr>
      <w:r w:rsidRPr="002C25D5">
        <w:rPr>
          <w:b/>
          <w:sz w:val="24"/>
        </w:rPr>
        <w:t>Förderbescheid für ehemaliges Homann-Areal ist da</w:t>
      </w:r>
    </w:p>
    <w:p w:rsidR="002C25D5" w:rsidRDefault="002C25D5" w:rsidP="002C25D5"/>
    <w:p w:rsidR="002C25D5" w:rsidRDefault="002C25D5" w:rsidP="002C25D5">
      <w:pPr>
        <w:rPr>
          <w:b/>
        </w:rPr>
      </w:pPr>
      <w:r w:rsidRPr="002C25D5">
        <w:rPr>
          <w:b/>
        </w:rPr>
        <w:t xml:space="preserve">Erste 2,1 Mio. Euro für die Entwicklung des früheren Betriebsgeländes sind freigegeben </w:t>
      </w:r>
    </w:p>
    <w:p w:rsidR="002C25D5" w:rsidRPr="002C25D5" w:rsidRDefault="002C25D5" w:rsidP="002C25D5">
      <w:pPr>
        <w:rPr>
          <w:b/>
        </w:rPr>
      </w:pPr>
    </w:p>
    <w:p w:rsidR="002C25D5" w:rsidRDefault="002C25D5" w:rsidP="002C25D5">
      <w:r>
        <w:t xml:space="preserve">Warmer Regen für </w:t>
      </w:r>
      <w:proofErr w:type="spellStart"/>
      <w:r>
        <w:t>Dissen</w:t>
      </w:r>
      <w:proofErr w:type="spellEnd"/>
      <w:r>
        <w:t xml:space="preserve"> </w:t>
      </w:r>
      <w:proofErr w:type="spellStart"/>
      <w:r>
        <w:t>aTW</w:t>
      </w:r>
      <w:proofErr w:type="spellEnd"/>
      <w:r>
        <w:t xml:space="preserve">: Nachdem es das </w:t>
      </w:r>
      <w:r w:rsidRPr="00DC09FC">
        <w:t xml:space="preserve">niedersächsische Wirtschafts- und Bauministerium </w:t>
      </w:r>
      <w:r>
        <w:t xml:space="preserve">bereits im Juli bekannt gegeben hatte, dass </w:t>
      </w:r>
      <w:proofErr w:type="spellStart"/>
      <w:r>
        <w:t>Dissen</w:t>
      </w:r>
      <w:proofErr w:type="spellEnd"/>
      <w:r>
        <w:t xml:space="preserve"> </w:t>
      </w:r>
      <w:proofErr w:type="spellStart"/>
      <w:r>
        <w:t>aTW</w:t>
      </w:r>
      <w:proofErr w:type="spellEnd"/>
      <w:r>
        <w:t xml:space="preserve"> mit dem Entwicklungsvorhaben „</w:t>
      </w:r>
      <w:proofErr w:type="spellStart"/>
      <w:r>
        <w:t>Dissen</w:t>
      </w:r>
      <w:proofErr w:type="spellEnd"/>
      <w:r>
        <w:t xml:space="preserve"> - Westliche Innenstadt“ für das ehemalige Homann-Areal neu in das Städtebauförderungsprogramm aufgenommen wird, ist jetzt der erste Zuwendungsbescheid bei der Stadt eingegangen. Insgesamt wurden 6,6 Mio. Euro aus dem vom Land und Bund getragenen Programm für eine</w:t>
      </w:r>
      <w:r w:rsidRPr="00CE6F65">
        <w:t xml:space="preserve"> nachhaltige Entwicklung und Erneuerung von Städten und Gemeinden</w:t>
      </w:r>
      <w:r>
        <w:t xml:space="preserve"> für </w:t>
      </w:r>
      <w:proofErr w:type="spellStart"/>
      <w:r>
        <w:t>Dissen</w:t>
      </w:r>
      <w:proofErr w:type="spellEnd"/>
      <w:r>
        <w:t xml:space="preserve"> </w:t>
      </w:r>
      <w:proofErr w:type="spellStart"/>
      <w:r>
        <w:t>aTW</w:t>
      </w:r>
      <w:proofErr w:type="spellEnd"/>
      <w:r>
        <w:t xml:space="preserve"> bewilligt. Davon sind jetzt 2,1 Mio. Euro freigegeben, die bis 2030 in jährlichen Raten in unterschiedlicher Höhe ausgezahlt werden. </w:t>
      </w:r>
    </w:p>
    <w:p w:rsidR="002C25D5" w:rsidRDefault="002C25D5" w:rsidP="002C25D5">
      <w:r>
        <w:t xml:space="preserve">Wie das Ministerium mitteilt, ist das </w:t>
      </w:r>
      <w:proofErr w:type="spellStart"/>
      <w:r>
        <w:t>Dissener</w:t>
      </w:r>
      <w:proofErr w:type="spellEnd"/>
      <w:r>
        <w:t xml:space="preserve"> Vorhaben für die Entwicklung des Homann-Areals mit zwei weiteren Gesamtmaßnahmen neu in das Städtebauförderungsprogramm aufgenommen worden. Insgesamt fließen aus dem Programm 122 Mio. Euro an Städte und Gemeinden in Niedersachsen. Mit den Zuwendungen soll die Bewältigung des wirtschaftlichen und demografischen Wandels in Städten und Gemeinden in Gebieten unterstützt werden, die von erheblichen städtebaulichen Funktionsverlusten oder Strukturveränderungen betroffen sind. Ziel ist es, das Wachstum und die nachhaltige Erneuerung dieser Gebiete zu lebenswerten Quartieren zu befördern. </w:t>
      </w:r>
    </w:p>
    <w:p w:rsidR="002C25D5" w:rsidRDefault="002C25D5" w:rsidP="002C25D5">
      <w:r>
        <w:t xml:space="preserve">Bei der Entwicklung eines städtebaulichen Konzepts für das Homann-Areal arbeiten die Stadt </w:t>
      </w:r>
      <w:proofErr w:type="spellStart"/>
      <w:r>
        <w:t>Dissen</w:t>
      </w:r>
      <w:proofErr w:type="spellEnd"/>
      <w:r>
        <w:t xml:space="preserve"> </w:t>
      </w:r>
      <w:proofErr w:type="spellStart"/>
      <w:r>
        <w:t>aTW</w:t>
      </w:r>
      <w:proofErr w:type="spellEnd"/>
      <w:r>
        <w:t xml:space="preserve"> und die </w:t>
      </w:r>
      <w:r w:rsidRPr="00557BE0">
        <w:t>Osnabrücker Land-Entwicklungsgesellscha</w:t>
      </w:r>
      <w:r>
        <w:t>ft (</w:t>
      </w:r>
      <w:proofErr w:type="spellStart"/>
      <w:r>
        <w:t>oleg</w:t>
      </w:r>
      <w:proofErr w:type="spellEnd"/>
      <w:r>
        <w:t xml:space="preserve">) eng zusammen. Die </w:t>
      </w:r>
      <w:proofErr w:type="spellStart"/>
      <w:r>
        <w:t>oleg</w:t>
      </w:r>
      <w:proofErr w:type="spellEnd"/>
      <w:r>
        <w:t xml:space="preserve"> hatte das Gelände 2022 im Auftrag der Stadt gekauft und ist mit der Entwicklung und Vermarktung beauftragt. „Wir freuen uns sehr darüber, dass </w:t>
      </w:r>
      <w:proofErr w:type="gramStart"/>
      <w:r>
        <w:t>die ,Westliche</w:t>
      </w:r>
      <w:proofErr w:type="gramEnd"/>
      <w:r>
        <w:t xml:space="preserve"> Innenstadt‘ in </w:t>
      </w:r>
      <w:proofErr w:type="spellStart"/>
      <w:r>
        <w:t>Dissen</w:t>
      </w:r>
      <w:proofErr w:type="spellEnd"/>
      <w:r>
        <w:t xml:space="preserve"> in das Städtebauförderungsprogramm aufgenommen worden ist“, sagt </w:t>
      </w:r>
      <w:proofErr w:type="spellStart"/>
      <w:r>
        <w:t>oleg</w:t>
      </w:r>
      <w:proofErr w:type="spellEnd"/>
      <w:r>
        <w:t xml:space="preserve">-Geschäftsführerin Susanne Menke. „Dass dem Antrag der Stadt </w:t>
      </w:r>
      <w:proofErr w:type="spellStart"/>
      <w:r>
        <w:t>Dissen</w:t>
      </w:r>
      <w:proofErr w:type="spellEnd"/>
      <w:r>
        <w:t xml:space="preserve"> weitgehend entsprochen und Mittel in einer solchen Höhe bewilligt worden sind, zeigt den enormen Umfang und die große Bedeutung des Vorhabens für </w:t>
      </w:r>
      <w:proofErr w:type="spellStart"/>
      <w:r>
        <w:t>Dissen</w:t>
      </w:r>
      <w:proofErr w:type="spellEnd"/>
      <w:r>
        <w:t xml:space="preserve">. Es liegt eine große Chance für die Stadt darin, diese mitten in </w:t>
      </w:r>
      <w:proofErr w:type="spellStart"/>
      <w:r>
        <w:t>Dissen</w:t>
      </w:r>
      <w:proofErr w:type="spellEnd"/>
      <w:r>
        <w:t xml:space="preserve"> gelegenen Flächen in die städtebauliche Entwicklung einbeziehen und neu nutzen zu können.“ </w:t>
      </w:r>
    </w:p>
    <w:p w:rsidR="002C25D5" w:rsidRDefault="002C25D5" w:rsidP="002C25D5">
      <w:r>
        <w:t xml:space="preserve">Wie sie und Dissens Bürgermeister Eugen Görlitz ankündigten, soll mit den bewilligten Mitteln im nächsten Schritt eine Bedarfsanalyse durchgeführt werden, in der genau ermittelt wird, welche Potentiale und Anforderungen in </w:t>
      </w:r>
      <w:proofErr w:type="spellStart"/>
      <w:r>
        <w:t>Dissen</w:t>
      </w:r>
      <w:proofErr w:type="spellEnd"/>
      <w:r>
        <w:t xml:space="preserve"> </w:t>
      </w:r>
      <w:proofErr w:type="spellStart"/>
      <w:r>
        <w:t>aTW</w:t>
      </w:r>
      <w:proofErr w:type="spellEnd"/>
      <w:r>
        <w:t xml:space="preserve"> bestehen. Neben der erwarteten </w:t>
      </w:r>
      <w:r w:rsidRPr="00082D55">
        <w:t>Bevölkerungsentwicklung</w:t>
      </w:r>
      <w:r>
        <w:t>, zukünftigen Bedarfen</w:t>
      </w:r>
      <w:r w:rsidRPr="00082D55">
        <w:t xml:space="preserve"> in </w:t>
      </w:r>
      <w:r>
        <w:t xml:space="preserve">den </w:t>
      </w:r>
      <w:r w:rsidRPr="00082D55">
        <w:t xml:space="preserve">Bereichen Soziales, Handel sowie Freizeit und Erholung und </w:t>
      </w:r>
      <w:r>
        <w:t xml:space="preserve">weiteren Faktoren wie den bereits vorhandenen Angeboten, sollen dabei auch die zahlreichen Ideen und Vorschläge für die Nachnutzung des Areals von </w:t>
      </w:r>
      <w:r>
        <w:lastRenderedPageBreak/>
        <w:t xml:space="preserve">Bürgern, Vereinen und Initiativen aus </w:t>
      </w:r>
      <w:proofErr w:type="spellStart"/>
      <w:r>
        <w:t>Dissen</w:t>
      </w:r>
      <w:proofErr w:type="spellEnd"/>
      <w:r>
        <w:t xml:space="preserve"> einbezogen werden. Diese waren zuvor in mehreren Beteiligungsschritten eingesammelt und dieses Jahr vorgestellt worden.</w:t>
      </w:r>
    </w:p>
    <w:p w:rsidR="002C25D5" w:rsidRDefault="002C25D5" w:rsidP="002C25D5">
      <w:r>
        <w:t xml:space="preserve">Die Bedarfsanalyse soll Anfang 2025 durchgeführt werden. Mit ihr sollen die Vorgaben für einen städtebaulichen Wettbewerb für die Neugestaltung des Geländes festgelegt werden. „In dem gesamten Prozess ist es uns wichtig, die Bürgerinnen und Bürger und die Politik mitzunehmen und das Gelände so zu gestalten, dass sich die Menschen in </w:t>
      </w:r>
      <w:proofErr w:type="spellStart"/>
      <w:r>
        <w:t>Dissen</w:t>
      </w:r>
      <w:proofErr w:type="spellEnd"/>
      <w:r>
        <w:t xml:space="preserve"> </w:t>
      </w:r>
      <w:proofErr w:type="spellStart"/>
      <w:r>
        <w:t>aTW</w:t>
      </w:r>
      <w:proofErr w:type="spellEnd"/>
      <w:r>
        <w:t xml:space="preserve"> damit identifizieren können“, betont Bürgermeister Eugen Görlitz. </w:t>
      </w:r>
    </w:p>
    <w:p w:rsidR="002C25D5" w:rsidRDefault="002C25D5" w:rsidP="002C25D5">
      <w:r>
        <w:t xml:space="preserve">Wie Susanne Menke erklärt, ist eine gemischte urbane Nutzung geplant, wobei neue Wohnbauflächen ebenso wie eine nicht störende gewerbliche Nutzung, Flächen für Gemeinschaftsbedarf und grüne Wegverbindungen innerhalb des Gebiets vorstellbar sind. Erste städtebaulichen Maßnahmen sollen gleich nächstes Jahr einhergehend mit der Bedarfsanalyse realisiert werden. Weitere Maßnahmen, die bereits im Rahmen </w:t>
      </w:r>
      <w:proofErr w:type="gramStart"/>
      <w:r>
        <w:t>des integrierten Städtebaulichen Entwicklungskonzept</w:t>
      </w:r>
      <w:proofErr w:type="gramEnd"/>
      <w:r>
        <w:t xml:space="preserve"> (ISEK) als Grundlage des Förderantrags erarbeitet wurden, sind im Laufe des Förderzeitraums von ca. 10-15 Jahren geplant. Dies sind u.a. eine denkmalgerechte Nutzung des alten Wasserturms, der Erhalt </w:t>
      </w:r>
      <w:proofErr w:type="spellStart"/>
      <w:r>
        <w:t>denkmalgeschützter</w:t>
      </w:r>
      <w:proofErr w:type="spellEnd"/>
      <w:r>
        <w:t xml:space="preserve"> Straßenfassaden, die verbesserte räumliche Anbindung des KUK-SOL-Vereinshauses und der angrenzenden Freiflächen, eine Sanierung und energetische Maßnahmen auch in der angrenzenden Werkssiedlung sowie eine weitere Aufwertung</w:t>
      </w:r>
      <w:r w:rsidRPr="00A623B0">
        <w:t xml:space="preserve"> </w:t>
      </w:r>
      <w:r>
        <w:t xml:space="preserve">für das Mischgebiet </w:t>
      </w:r>
      <w:proofErr w:type="spellStart"/>
      <w:r>
        <w:t>Osnabrücker</w:t>
      </w:r>
      <w:proofErr w:type="spellEnd"/>
      <w:r>
        <w:t xml:space="preserve"> Str./Am </w:t>
      </w:r>
      <w:proofErr w:type="spellStart"/>
      <w:r>
        <w:t>Krümpel</w:t>
      </w:r>
      <w:proofErr w:type="spellEnd"/>
      <w:r>
        <w:t xml:space="preserve">. Weiter soll mit dem Erhalt und der Verbindung bestehender </w:t>
      </w:r>
      <w:proofErr w:type="spellStart"/>
      <w:r>
        <w:t>Grünflächen</w:t>
      </w:r>
      <w:proofErr w:type="spellEnd"/>
      <w:r>
        <w:t>, der Entsiegelung von Flächen und der Bodensanierung sowie mit der Beseitigung von städtebaulichen Barrieren begonnen werden. Auch Infrastrukturmaßnahmen wie das Anlegen von neuen Regenrückhaltebecken, der Ausbau von Fuß- und Radwegen werden umgesetzt.</w:t>
      </w:r>
    </w:p>
    <w:p w:rsidR="002C25D5" w:rsidRDefault="002C25D5" w:rsidP="002C25D5">
      <w:r>
        <w:t xml:space="preserve">Der Zeitplan sieht vor, dass noch bis Ende Februar 2025 die gebrauchten Lebensmittelmaschinen vom Unternehmen </w:t>
      </w:r>
      <w:proofErr w:type="spellStart"/>
      <w:r>
        <w:t>Progressu</w:t>
      </w:r>
      <w:proofErr w:type="spellEnd"/>
      <w:r>
        <w:t xml:space="preserve"> vermarktet werden. Im März, wenn der Pachtvertrag von </w:t>
      </w:r>
      <w:proofErr w:type="spellStart"/>
      <w:r>
        <w:t>Progressu</w:t>
      </w:r>
      <w:proofErr w:type="spellEnd"/>
      <w:r>
        <w:t xml:space="preserve"> ausgelaufen ist, geht das Areal wieder in die Verantwortung der </w:t>
      </w:r>
      <w:proofErr w:type="spellStart"/>
      <w:r>
        <w:t>oleg</w:t>
      </w:r>
      <w:proofErr w:type="spellEnd"/>
      <w:r>
        <w:t xml:space="preserve"> über. Dann soll, wie Susanne Menke erklärt, gleich ein umfangreiches Sicherungskonzept greifen, mit dem Vandalismus auf dem Gelände verhindert werden soll. </w:t>
      </w:r>
    </w:p>
    <w:p w:rsidR="00977CFF" w:rsidRDefault="00977CFF" w:rsidP="00977CFF">
      <w:pPr>
        <w:spacing w:line="360" w:lineRule="auto"/>
        <w:rPr>
          <w:rFonts w:cs="Arial"/>
        </w:rPr>
      </w:pPr>
    </w:p>
    <w:p w:rsidR="00977CFF" w:rsidRPr="00977CFF" w:rsidRDefault="00977CFF" w:rsidP="00977CFF">
      <w:pPr>
        <w:spacing w:line="360" w:lineRule="auto"/>
        <w:rPr>
          <w:rFonts w:cs="Arial"/>
          <w:u w:val="single"/>
        </w:rPr>
      </w:pPr>
      <w:r w:rsidRPr="00977CFF">
        <w:rPr>
          <w:rFonts w:cs="Arial"/>
          <w:u w:val="single"/>
        </w:rPr>
        <w:t>Bildunterschrift:</w:t>
      </w:r>
    </w:p>
    <w:p w:rsidR="00977CFF" w:rsidRPr="00977CFF" w:rsidRDefault="002C25D5" w:rsidP="00977CFF">
      <w:pPr>
        <w:spacing w:line="360" w:lineRule="auto"/>
        <w:rPr>
          <w:rFonts w:cs="Arial"/>
          <w:i/>
        </w:rPr>
      </w:pPr>
      <w:r>
        <w:rPr>
          <w:rFonts w:cs="Arial"/>
          <w:i/>
        </w:rPr>
        <w:t xml:space="preserve">Das ehemalige Homann-Areal in </w:t>
      </w:r>
      <w:proofErr w:type="spellStart"/>
      <w:r>
        <w:rPr>
          <w:rFonts w:cs="Arial"/>
          <w:i/>
        </w:rPr>
        <w:t>Dissen</w:t>
      </w:r>
      <w:proofErr w:type="spellEnd"/>
      <w:r w:rsidR="00977CFF">
        <w:rPr>
          <w:rFonts w:cs="Arial"/>
          <w:i/>
        </w:rPr>
        <w:t xml:space="preserve"> Foto: </w:t>
      </w:r>
      <w:proofErr w:type="spellStart"/>
      <w:r w:rsidR="00977CFF">
        <w:rPr>
          <w:rFonts w:cs="Arial"/>
          <w:i/>
        </w:rPr>
        <w:t>oleg</w:t>
      </w:r>
      <w:proofErr w:type="spellEnd"/>
    </w:p>
    <w:p w:rsidR="007615F5" w:rsidRPr="005059C0" w:rsidRDefault="007615F5" w:rsidP="00977CFF">
      <w:pPr>
        <w:tabs>
          <w:tab w:val="left" w:pos="7655"/>
        </w:tabs>
        <w:ind w:right="1418"/>
        <w:jc w:val="both"/>
        <w:rPr>
          <w:rFonts w:cs="Arial"/>
          <w:sz w:val="22"/>
          <w:szCs w:val="22"/>
        </w:rPr>
      </w:pPr>
    </w:p>
    <w:sectPr w:rsidR="007615F5" w:rsidRPr="005059C0" w:rsidSect="004873DE">
      <w:footerReference w:type="first" r:id="rId8"/>
      <w:pgSz w:w="11907" w:h="16840" w:code="9"/>
      <w:pgMar w:top="1418" w:right="709" w:bottom="284" w:left="1418" w:header="68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0CC" w:rsidRDefault="00D600CC">
      <w:r>
        <w:separator/>
      </w:r>
    </w:p>
  </w:endnote>
  <w:endnote w:type="continuationSeparator" w:id="0">
    <w:p w:rsidR="00D600CC" w:rsidRDefault="00D60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8"/>
      <w:gridCol w:w="2069"/>
      <w:gridCol w:w="1675"/>
      <w:gridCol w:w="2693"/>
      <w:gridCol w:w="1413"/>
    </w:tblGrid>
    <w:tr w:rsidR="00020217" w:rsidRPr="001F42EA" w:rsidTr="005A2B47">
      <w:trPr>
        <w:trHeight w:val="694"/>
      </w:trPr>
      <w:tc>
        <w:tcPr>
          <w:tcW w:w="1928" w:type="dxa"/>
        </w:tcPr>
        <w:p w:rsidR="00020217" w:rsidRPr="005A2B47" w:rsidRDefault="00020217" w:rsidP="00D924A3">
          <w:pPr>
            <w:tabs>
              <w:tab w:val="left" w:pos="7711"/>
            </w:tabs>
            <w:spacing w:after="0" w:line="264" w:lineRule="auto"/>
            <w:ind w:left="-107" w:right="-1135"/>
            <w:rPr>
              <w:color w:val="6F89AC" w:themeColor="accent1"/>
            </w:rPr>
          </w:pPr>
        </w:p>
      </w:tc>
      <w:tc>
        <w:tcPr>
          <w:tcW w:w="2069" w:type="dxa"/>
        </w:tcPr>
        <w:p w:rsidR="00020217" w:rsidRPr="005A2B47" w:rsidRDefault="00020217" w:rsidP="00D924A3">
          <w:pPr>
            <w:tabs>
              <w:tab w:val="left" w:pos="7711"/>
            </w:tabs>
            <w:spacing w:after="0" w:line="264" w:lineRule="auto"/>
            <w:ind w:right="-1135"/>
            <w:rPr>
              <w:color w:val="6F89AC" w:themeColor="accent1"/>
            </w:rPr>
          </w:pPr>
        </w:p>
      </w:tc>
      <w:tc>
        <w:tcPr>
          <w:tcW w:w="1675" w:type="dxa"/>
        </w:tcPr>
        <w:p w:rsidR="001F42EA" w:rsidRPr="005A2B47" w:rsidRDefault="001F42EA" w:rsidP="00D924A3">
          <w:pPr>
            <w:tabs>
              <w:tab w:val="left" w:pos="7711"/>
            </w:tabs>
            <w:spacing w:after="0" w:line="264" w:lineRule="auto"/>
            <w:ind w:right="-1135"/>
            <w:rPr>
              <w:rFonts w:cs="Arial"/>
              <w:color w:val="6F89AC" w:themeColor="accent1"/>
              <w:spacing w:val="2"/>
              <w:sz w:val="14"/>
              <w:szCs w:val="14"/>
            </w:rPr>
          </w:pPr>
        </w:p>
      </w:tc>
      <w:tc>
        <w:tcPr>
          <w:tcW w:w="2693" w:type="dxa"/>
        </w:tcPr>
        <w:p w:rsidR="00020217" w:rsidRPr="001F42EA" w:rsidRDefault="00020217" w:rsidP="00D924A3">
          <w:pPr>
            <w:tabs>
              <w:tab w:val="left" w:pos="7711"/>
            </w:tabs>
            <w:spacing w:after="0" w:line="264" w:lineRule="auto"/>
            <w:ind w:right="-1135"/>
            <w:rPr>
              <w:rFonts w:cs="Arial"/>
              <w:color w:val="6F89AC" w:themeColor="accent1"/>
              <w:spacing w:val="2"/>
              <w:sz w:val="14"/>
              <w:lang w:val="en-GB"/>
            </w:rPr>
          </w:pPr>
        </w:p>
      </w:tc>
      <w:tc>
        <w:tcPr>
          <w:tcW w:w="1413" w:type="dxa"/>
        </w:tcPr>
        <w:p w:rsidR="00020217" w:rsidRPr="001F42EA" w:rsidRDefault="00020217" w:rsidP="00D924A3">
          <w:pPr>
            <w:pStyle w:val="Fuzeile"/>
            <w:spacing w:after="0"/>
            <w:jc w:val="right"/>
            <w:rPr>
              <w:lang w:val="en-GB"/>
            </w:rPr>
          </w:pPr>
        </w:p>
      </w:tc>
    </w:tr>
  </w:tbl>
  <w:p w:rsidR="00020217" w:rsidRPr="001F42EA" w:rsidRDefault="00020217">
    <w:pPr>
      <w:pStyle w:val="Fuzeile"/>
      <w:rPr>
        <w:sz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0CC" w:rsidRDefault="00D600CC">
      <w:r>
        <w:separator/>
      </w:r>
    </w:p>
  </w:footnote>
  <w:footnote w:type="continuationSeparator" w:id="0">
    <w:p w:rsidR="00D600CC" w:rsidRDefault="00D600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9E7"/>
    <w:rsid w:val="00000B5E"/>
    <w:rsid w:val="00011BD0"/>
    <w:rsid w:val="00020217"/>
    <w:rsid w:val="000401F1"/>
    <w:rsid w:val="00055F4A"/>
    <w:rsid w:val="00085BA1"/>
    <w:rsid w:val="000A497E"/>
    <w:rsid w:val="000A591D"/>
    <w:rsid w:val="000C2109"/>
    <w:rsid w:val="000C3BD5"/>
    <w:rsid w:val="000D1739"/>
    <w:rsid w:val="000D30C9"/>
    <w:rsid w:val="000D4B44"/>
    <w:rsid w:val="00111CD6"/>
    <w:rsid w:val="001145A4"/>
    <w:rsid w:val="00115BEC"/>
    <w:rsid w:val="001303D8"/>
    <w:rsid w:val="00133476"/>
    <w:rsid w:val="0014785F"/>
    <w:rsid w:val="00152E35"/>
    <w:rsid w:val="001542A4"/>
    <w:rsid w:val="001A5DAF"/>
    <w:rsid w:val="001B1640"/>
    <w:rsid w:val="001D36AE"/>
    <w:rsid w:val="001D4DF9"/>
    <w:rsid w:val="001E7F4A"/>
    <w:rsid w:val="001F42EA"/>
    <w:rsid w:val="001F5783"/>
    <w:rsid w:val="00207B0D"/>
    <w:rsid w:val="002416F6"/>
    <w:rsid w:val="002420F9"/>
    <w:rsid w:val="00245DCB"/>
    <w:rsid w:val="002711E5"/>
    <w:rsid w:val="0028142E"/>
    <w:rsid w:val="00286D56"/>
    <w:rsid w:val="002A0F77"/>
    <w:rsid w:val="002B5575"/>
    <w:rsid w:val="002C25D5"/>
    <w:rsid w:val="002C2C18"/>
    <w:rsid w:val="002E403E"/>
    <w:rsid w:val="002F113B"/>
    <w:rsid w:val="002F2CFB"/>
    <w:rsid w:val="002F6C71"/>
    <w:rsid w:val="00321BD4"/>
    <w:rsid w:val="00346E7F"/>
    <w:rsid w:val="00363477"/>
    <w:rsid w:val="00367566"/>
    <w:rsid w:val="00374DE9"/>
    <w:rsid w:val="00387689"/>
    <w:rsid w:val="00395066"/>
    <w:rsid w:val="00397D03"/>
    <w:rsid w:val="003E3E6E"/>
    <w:rsid w:val="003F6C9E"/>
    <w:rsid w:val="00425AED"/>
    <w:rsid w:val="0042642C"/>
    <w:rsid w:val="00466A8F"/>
    <w:rsid w:val="004873DE"/>
    <w:rsid w:val="0048794D"/>
    <w:rsid w:val="00491D88"/>
    <w:rsid w:val="00492BAE"/>
    <w:rsid w:val="004A3771"/>
    <w:rsid w:val="004C5908"/>
    <w:rsid w:val="004F3A33"/>
    <w:rsid w:val="004F7AD9"/>
    <w:rsid w:val="0050307E"/>
    <w:rsid w:val="0050376A"/>
    <w:rsid w:val="005059C0"/>
    <w:rsid w:val="00506F87"/>
    <w:rsid w:val="005259B1"/>
    <w:rsid w:val="00530F20"/>
    <w:rsid w:val="00563B4A"/>
    <w:rsid w:val="00587D10"/>
    <w:rsid w:val="005A2B47"/>
    <w:rsid w:val="005D0E41"/>
    <w:rsid w:val="005F7E4A"/>
    <w:rsid w:val="00602E6E"/>
    <w:rsid w:val="00607949"/>
    <w:rsid w:val="006354FD"/>
    <w:rsid w:val="006560D0"/>
    <w:rsid w:val="00664FB9"/>
    <w:rsid w:val="00665366"/>
    <w:rsid w:val="00685042"/>
    <w:rsid w:val="006857F6"/>
    <w:rsid w:val="00687177"/>
    <w:rsid w:val="00694324"/>
    <w:rsid w:val="006A74AF"/>
    <w:rsid w:val="006E2E18"/>
    <w:rsid w:val="006E38BE"/>
    <w:rsid w:val="006F1DE7"/>
    <w:rsid w:val="00701D11"/>
    <w:rsid w:val="00734335"/>
    <w:rsid w:val="0073443E"/>
    <w:rsid w:val="00742064"/>
    <w:rsid w:val="00743EFD"/>
    <w:rsid w:val="007615F5"/>
    <w:rsid w:val="007619FC"/>
    <w:rsid w:val="00790DA3"/>
    <w:rsid w:val="007B58B2"/>
    <w:rsid w:val="007B6AC2"/>
    <w:rsid w:val="007B74C1"/>
    <w:rsid w:val="007C0EE7"/>
    <w:rsid w:val="007D243E"/>
    <w:rsid w:val="007D7D6A"/>
    <w:rsid w:val="007E0DD7"/>
    <w:rsid w:val="007F6084"/>
    <w:rsid w:val="0081474E"/>
    <w:rsid w:val="00824F13"/>
    <w:rsid w:val="00837AD1"/>
    <w:rsid w:val="008401FD"/>
    <w:rsid w:val="00843EAC"/>
    <w:rsid w:val="00850CDA"/>
    <w:rsid w:val="00860478"/>
    <w:rsid w:val="00860AD7"/>
    <w:rsid w:val="00862E98"/>
    <w:rsid w:val="00877F24"/>
    <w:rsid w:val="008905DB"/>
    <w:rsid w:val="008B42AA"/>
    <w:rsid w:val="008B5629"/>
    <w:rsid w:val="008B74B1"/>
    <w:rsid w:val="008E7F35"/>
    <w:rsid w:val="008F7D84"/>
    <w:rsid w:val="00906191"/>
    <w:rsid w:val="00936F47"/>
    <w:rsid w:val="00947832"/>
    <w:rsid w:val="00947EA3"/>
    <w:rsid w:val="00967B2C"/>
    <w:rsid w:val="00974980"/>
    <w:rsid w:val="00977CFF"/>
    <w:rsid w:val="00982300"/>
    <w:rsid w:val="0099080F"/>
    <w:rsid w:val="00995350"/>
    <w:rsid w:val="009C435A"/>
    <w:rsid w:val="009C4EC3"/>
    <w:rsid w:val="00A10BBA"/>
    <w:rsid w:val="00A27507"/>
    <w:rsid w:val="00A439E7"/>
    <w:rsid w:val="00A8278F"/>
    <w:rsid w:val="00AD3751"/>
    <w:rsid w:val="00AD5B97"/>
    <w:rsid w:val="00B06063"/>
    <w:rsid w:val="00B80894"/>
    <w:rsid w:val="00C05356"/>
    <w:rsid w:val="00C2444A"/>
    <w:rsid w:val="00C53F5D"/>
    <w:rsid w:val="00C75274"/>
    <w:rsid w:val="00C845AE"/>
    <w:rsid w:val="00CA4C3A"/>
    <w:rsid w:val="00CE610D"/>
    <w:rsid w:val="00CF3D87"/>
    <w:rsid w:val="00D02F48"/>
    <w:rsid w:val="00D24959"/>
    <w:rsid w:val="00D416A8"/>
    <w:rsid w:val="00D44B4D"/>
    <w:rsid w:val="00D50900"/>
    <w:rsid w:val="00D600CC"/>
    <w:rsid w:val="00D62738"/>
    <w:rsid w:val="00D763CF"/>
    <w:rsid w:val="00D924A3"/>
    <w:rsid w:val="00DA0960"/>
    <w:rsid w:val="00DC0BA0"/>
    <w:rsid w:val="00DC0FAB"/>
    <w:rsid w:val="00DD2FB6"/>
    <w:rsid w:val="00DE6F7F"/>
    <w:rsid w:val="00DE7A74"/>
    <w:rsid w:val="00E033F8"/>
    <w:rsid w:val="00E17F39"/>
    <w:rsid w:val="00E566C1"/>
    <w:rsid w:val="00E66228"/>
    <w:rsid w:val="00E8305B"/>
    <w:rsid w:val="00E92AA7"/>
    <w:rsid w:val="00EB263B"/>
    <w:rsid w:val="00EB43DF"/>
    <w:rsid w:val="00EE2986"/>
    <w:rsid w:val="00EE3DBE"/>
    <w:rsid w:val="00EE5339"/>
    <w:rsid w:val="00EE73AF"/>
    <w:rsid w:val="00F00A66"/>
    <w:rsid w:val="00F032C5"/>
    <w:rsid w:val="00F168B0"/>
    <w:rsid w:val="00F22172"/>
    <w:rsid w:val="00F41D56"/>
    <w:rsid w:val="00F42EDB"/>
    <w:rsid w:val="00F746D8"/>
    <w:rsid w:val="00F82167"/>
    <w:rsid w:val="00F83C83"/>
    <w:rsid w:val="00FB020C"/>
    <w:rsid w:val="00FC14FA"/>
    <w:rsid w:val="00FF245E"/>
    <w:rsid w:val="00FF5861"/>
    <w:rsid w:val="00FF7E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00E6317C-FF63-43E7-BB5D-422D9BF67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E2E18"/>
    <w:pPr>
      <w:overflowPunct w:val="0"/>
      <w:autoSpaceDE w:val="0"/>
      <w:autoSpaceDN w:val="0"/>
      <w:adjustRightInd w:val="0"/>
      <w:spacing w:after="120" w:line="276" w:lineRule="auto"/>
      <w:textAlignment w:val="baseline"/>
    </w:pPr>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link w:val="FuzeileZchn"/>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Sprechblasentext">
    <w:name w:val="Balloon Text"/>
    <w:basedOn w:val="Standard"/>
    <w:semiHidden/>
    <w:rsid w:val="003E3E6E"/>
    <w:rPr>
      <w:rFonts w:ascii="Tahoma" w:hAnsi="Tahoma" w:cs="Tahoma"/>
      <w:sz w:val="16"/>
      <w:szCs w:val="16"/>
    </w:rPr>
  </w:style>
  <w:style w:type="table" w:styleId="Tabellenraster">
    <w:name w:val="Table Grid"/>
    <w:basedOn w:val="NormaleTabelle"/>
    <w:uiPriority w:val="59"/>
    <w:rsid w:val="00020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020217"/>
    <w:rPr>
      <w:rFonts w:ascii="Arial" w:hAnsi="Arial"/>
    </w:rPr>
  </w:style>
  <w:style w:type="paragraph" w:styleId="Listenabsatz">
    <w:name w:val="List Paragraph"/>
    <w:basedOn w:val="Standard"/>
    <w:uiPriority w:val="34"/>
    <w:qFormat/>
    <w:rsid w:val="00977CFF"/>
    <w:pPr>
      <w:overflowPunct/>
      <w:autoSpaceDE/>
      <w:autoSpaceDN/>
      <w:adjustRightInd/>
      <w:spacing w:after="0" w:line="240" w:lineRule="auto"/>
      <w:ind w:left="720"/>
      <w:textAlignment w:val="auto"/>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404718">
      <w:bodyDiv w:val="1"/>
      <w:marLeft w:val="0"/>
      <w:marRight w:val="0"/>
      <w:marTop w:val="0"/>
      <w:marBottom w:val="0"/>
      <w:divBdr>
        <w:top w:val="none" w:sz="0" w:space="0" w:color="auto"/>
        <w:left w:val="none" w:sz="0" w:space="0" w:color="auto"/>
        <w:bottom w:val="none" w:sz="0" w:space="0" w:color="auto"/>
        <w:right w:val="none" w:sz="0" w:space="0" w:color="auto"/>
      </w:divBdr>
      <w:divsChild>
        <w:div w:id="272246397">
          <w:marLeft w:val="0"/>
          <w:marRight w:val="0"/>
          <w:marTop w:val="0"/>
          <w:marBottom w:val="0"/>
          <w:divBdr>
            <w:top w:val="none" w:sz="0" w:space="0" w:color="auto"/>
            <w:left w:val="none" w:sz="0" w:space="0" w:color="auto"/>
            <w:bottom w:val="none" w:sz="0" w:space="0" w:color="auto"/>
            <w:right w:val="none" w:sz="0" w:space="0" w:color="auto"/>
          </w:divBdr>
        </w:div>
        <w:div w:id="1092556372">
          <w:marLeft w:val="0"/>
          <w:marRight w:val="0"/>
          <w:marTop w:val="0"/>
          <w:marBottom w:val="0"/>
          <w:divBdr>
            <w:top w:val="none" w:sz="0" w:space="0" w:color="auto"/>
            <w:left w:val="none" w:sz="0" w:space="0" w:color="auto"/>
            <w:bottom w:val="none" w:sz="0" w:space="0" w:color="auto"/>
            <w:right w:val="none" w:sz="0" w:space="0" w:color="auto"/>
          </w:divBdr>
        </w:div>
      </w:divsChild>
    </w:div>
    <w:div w:id="95633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Eigene\Kopfbogen%20oleg.dot" TargetMode="External"/></Relationships>
</file>

<file path=word/theme/theme1.xml><?xml version="1.0" encoding="utf-8"?>
<a:theme xmlns:a="http://schemas.openxmlformats.org/drawingml/2006/main" name="Larissa">
  <a:themeElements>
    <a:clrScheme name="oleg_intern">
      <a:dk1>
        <a:sysClr val="windowText" lastClr="000000"/>
      </a:dk1>
      <a:lt1>
        <a:sysClr val="window" lastClr="FFFFFF"/>
      </a:lt1>
      <a:dk2>
        <a:srgbClr val="334458"/>
      </a:dk2>
      <a:lt2>
        <a:srgbClr val="E7E6E6"/>
      </a:lt2>
      <a:accent1>
        <a:srgbClr val="6F89AC"/>
      </a:accent1>
      <a:accent2>
        <a:srgbClr val="7C9B19"/>
      </a:accent2>
      <a:accent3>
        <a:srgbClr val="A5A5A5"/>
      </a:accent3>
      <a:accent4>
        <a:srgbClr val="FFC000"/>
      </a:accent4>
      <a:accent5>
        <a:srgbClr val="ED7D31"/>
      </a:accent5>
      <a:accent6>
        <a:srgbClr val="4472C4"/>
      </a:accent6>
      <a:hlink>
        <a:srgbClr val="0563C1"/>
      </a:hlink>
      <a:folHlink>
        <a:srgbClr val="954F72"/>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ED83C-DCE7-4C4E-BD33-B1194492F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Kopfbogen oleg.dot</Template>
  <TotalTime>0</TotalTime>
  <Pages>2</Pages>
  <Words>677</Words>
  <Characters>4464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Monika Kleinheider</dc:creator>
  <cp:lastModifiedBy>Brinkschröder, Daniel</cp:lastModifiedBy>
  <cp:revision>2</cp:revision>
  <cp:lastPrinted>2024-08-20T07:39:00Z</cp:lastPrinted>
  <dcterms:created xsi:type="dcterms:W3CDTF">2024-12-20T08:03:00Z</dcterms:created>
  <dcterms:modified xsi:type="dcterms:W3CDTF">2024-12-20T08:03:00Z</dcterms:modified>
</cp:coreProperties>
</file>